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9FBD3">
      <w:pPr>
        <w:pStyle w:val="3"/>
        <w:tabs>
          <w:tab w:val="left" w:pos="0"/>
        </w:tabs>
        <w:autoSpaceDE w:val="0"/>
        <w:autoSpaceDN w:val="0"/>
        <w:adjustRightInd w:val="0"/>
        <w:spacing w:before="0" w:after="0" w:line="500" w:lineRule="exact"/>
        <w:jc w:val="center"/>
        <w:rPr>
          <w:rFonts w:asciiTheme="minorEastAsia" w:hAnsiTheme="minorEastAsia" w:eastAsiaTheme="minorEastAsia"/>
          <w:color w:val="000000" w:themeColor="text1"/>
          <w:spacing w:val="-4"/>
          <w:sz w:val="32"/>
          <w:szCs w:val="32"/>
          <w:highlight w:val="none"/>
        </w:rPr>
      </w:pPr>
      <w:bookmarkStart w:id="0" w:name="_Toc28359022"/>
      <w:bookmarkStart w:id="1" w:name="_Toc35393809"/>
      <w:r>
        <w:rPr>
          <w:rFonts w:hint="eastAsia" w:asciiTheme="minorEastAsia" w:hAnsiTheme="minorEastAsia" w:eastAsiaTheme="minorEastAsia"/>
          <w:b/>
          <w:bCs/>
          <w:color w:val="000000" w:themeColor="text1"/>
          <w:spacing w:val="0"/>
          <w:sz w:val="32"/>
          <w:szCs w:val="32"/>
          <w:highlight w:val="none"/>
        </w:rPr>
        <w:t>广西大德项目管理有限公司关于日用百货物资采购项目（LZZC2025-G1-990077-GXDD）中标结果公告</w:t>
      </w:r>
      <w:bookmarkEnd w:id="0"/>
      <w:bookmarkEnd w:id="1"/>
    </w:p>
    <w:p w14:paraId="6CAEB61A">
      <w:pPr>
        <w:rPr>
          <w:color w:val="000000" w:themeColor="text1"/>
          <w:highlight w:val="none"/>
        </w:rPr>
      </w:pPr>
    </w:p>
    <w:p w14:paraId="34948CE5">
      <w:pPr>
        <w:widowControl/>
        <w:spacing w:line="400" w:lineRule="exact"/>
        <w:jc w:val="left"/>
        <w:rPr>
          <w:rFonts w:ascii="宋体" w:hAnsi="宋体" w:cs="Arial"/>
          <w:b w:val="0"/>
          <w:bCs w:val="0"/>
          <w:color w:val="000000" w:themeColor="text1"/>
          <w:kern w:val="0"/>
          <w:sz w:val="24"/>
          <w:szCs w:val="24"/>
          <w:highlight w:val="none"/>
        </w:rPr>
      </w:pPr>
      <w:r>
        <w:rPr>
          <w:rFonts w:hint="eastAsia" w:ascii="宋体" w:hAnsi="宋体" w:cs="Arial"/>
          <w:b/>
          <w:bCs/>
          <w:color w:val="000000" w:themeColor="text1"/>
          <w:kern w:val="0"/>
          <w:sz w:val="24"/>
          <w:szCs w:val="24"/>
          <w:highlight w:val="none"/>
        </w:rPr>
        <w:t>一、项目编号：LZZC2025-G1-990077-GXDD</w:t>
      </w:r>
    </w:p>
    <w:p w14:paraId="6F2EBA0F">
      <w:pPr>
        <w:widowControl/>
        <w:spacing w:line="400" w:lineRule="exact"/>
        <w:rPr>
          <w:rFonts w:ascii="宋体" w:hAnsi="宋体" w:cs="宋体"/>
          <w:b w:val="0"/>
          <w:bCs w:val="0"/>
          <w:color w:val="000000" w:themeColor="text1"/>
          <w:kern w:val="0"/>
          <w:sz w:val="24"/>
          <w:szCs w:val="24"/>
          <w:highlight w:val="none"/>
        </w:rPr>
      </w:pPr>
      <w:r>
        <w:rPr>
          <w:rFonts w:hint="eastAsia" w:ascii="宋体" w:hAnsi="宋体" w:cs="Arial"/>
          <w:b/>
          <w:bCs/>
          <w:color w:val="000000" w:themeColor="text1"/>
          <w:kern w:val="0"/>
          <w:sz w:val="24"/>
          <w:szCs w:val="24"/>
          <w:highlight w:val="none"/>
        </w:rPr>
        <w:t>二、项目名称：日用百货物资采购项目</w:t>
      </w:r>
    </w:p>
    <w:p w14:paraId="180F4B03">
      <w:pPr>
        <w:widowControl/>
        <w:spacing w:line="400" w:lineRule="exact"/>
        <w:jc w:val="left"/>
        <w:rPr>
          <w:rFonts w:ascii="Arial" w:hAnsi="Arial" w:cs="Arial"/>
          <w:color w:val="000000" w:themeColor="text1"/>
          <w:kern w:val="0"/>
          <w:sz w:val="24"/>
          <w:szCs w:val="24"/>
          <w:highlight w:val="none"/>
        </w:rPr>
      </w:pPr>
      <w:r>
        <w:rPr>
          <w:rFonts w:hint="eastAsia" w:ascii="宋体" w:hAnsi="宋体" w:cs="Arial"/>
          <w:b/>
          <w:bCs/>
          <w:color w:val="000000" w:themeColor="text1"/>
          <w:kern w:val="0"/>
          <w:sz w:val="24"/>
          <w:szCs w:val="24"/>
          <w:highlight w:val="none"/>
        </w:rPr>
        <w:t>三、中标（成交）信息</w:t>
      </w:r>
    </w:p>
    <w:p w14:paraId="3CE62C35">
      <w:pPr>
        <w:widowControl/>
        <w:spacing w:before="75" w:after="75" w:line="300" w:lineRule="exact"/>
        <w:ind w:firstLine="480" w:firstLineChars="200"/>
        <w:jc w:val="left"/>
        <w:rPr>
          <w:rFonts w:ascii="宋体" w:hAnsi="宋体" w:cs="宋体"/>
          <w:color w:val="000000" w:themeColor="text1"/>
          <w:kern w:val="0"/>
          <w:sz w:val="24"/>
          <w:szCs w:val="24"/>
          <w:highlight w:val="none"/>
        </w:rPr>
      </w:pPr>
      <w:r>
        <w:rPr>
          <w:rFonts w:ascii="宋体" w:hAnsi="宋体" w:cs="宋体"/>
          <w:color w:val="000000" w:themeColor="text1"/>
          <w:kern w:val="0"/>
          <w:sz w:val="24"/>
          <w:szCs w:val="24"/>
          <w:highlight w:val="none"/>
        </w:rPr>
        <w:t>1.中标结果：</w:t>
      </w:r>
    </w:p>
    <w:tbl>
      <w:tblPr>
        <w:tblStyle w:val="9"/>
        <w:tblW w:w="10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59"/>
        <w:gridCol w:w="2835"/>
        <w:gridCol w:w="3260"/>
        <w:gridCol w:w="3119"/>
      </w:tblGrid>
      <w:tr w14:paraId="353F2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4" w:hRule="atLeast"/>
          <w:tblHeader/>
        </w:trPr>
        <w:tc>
          <w:tcPr>
            <w:tcW w:w="859" w:type="dxa"/>
            <w:shd w:val="clear" w:color="auto" w:fill="FFFFFF"/>
            <w:tcMar>
              <w:top w:w="75" w:type="dxa"/>
              <w:left w:w="150" w:type="dxa"/>
              <w:bottom w:w="75" w:type="dxa"/>
              <w:right w:w="150" w:type="dxa"/>
            </w:tcMar>
            <w:vAlign w:val="center"/>
          </w:tcPr>
          <w:p w14:paraId="610C4C1A">
            <w:pPr>
              <w:widowControl/>
              <w:spacing w:after="150" w:line="300" w:lineRule="exact"/>
              <w:jc w:val="center"/>
              <w:rPr>
                <w:rFonts w:ascii="宋体" w:hAnsi="宋体" w:cs="宋体"/>
                <w:b/>
                <w:bCs/>
                <w:color w:val="000000" w:themeColor="text1"/>
                <w:kern w:val="0"/>
                <w:sz w:val="24"/>
                <w:szCs w:val="24"/>
                <w:highlight w:val="none"/>
              </w:rPr>
            </w:pPr>
            <w:r>
              <w:rPr>
                <w:rFonts w:ascii="宋体" w:hAnsi="宋体" w:cs="宋体"/>
                <w:b/>
                <w:bCs/>
                <w:color w:val="000000" w:themeColor="text1"/>
                <w:kern w:val="0"/>
                <w:sz w:val="24"/>
                <w:szCs w:val="24"/>
                <w:highlight w:val="none"/>
              </w:rPr>
              <w:t>序号</w:t>
            </w:r>
          </w:p>
        </w:tc>
        <w:tc>
          <w:tcPr>
            <w:tcW w:w="2835" w:type="dxa"/>
            <w:shd w:val="clear" w:color="auto" w:fill="FFFFFF"/>
            <w:tcMar>
              <w:top w:w="75" w:type="dxa"/>
              <w:left w:w="150" w:type="dxa"/>
              <w:bottom w:w="75" w:type="dxa"/>
              <w:right w:w="150" w:type="dxa"/>
            </w:tcMar>
            <w:vAlign w:val="center"/>
          </w:tcPr>
          <w:p w14:paraId="174E29A1">
            <w:pPr>
              <w:widowControl/>
              <w:spacing w:after="150" w:line="300" w:lineRule="exact"/>
              <w:jc w:val="center"/>
              <w:rPr>
                <w:rFonts w:ascii="宋体" w:hAnsi="宋体" w:cs="宋体"/>
                <w:b/>
                <w:bCs/>
                <w:color w:val="000000" w:themeColor="text1"/>
                <w:kern w:val="0"/>
                <w:sz w:val="24"/>
                <w:szCs w:val="24"/>
                <w:highlight w:val="none"/>
              </w:rPr>
            </w:pPr>
            <w:r>
              <w:rPr>
                <w:rFonts w:ascii="宋体" w:hAnsi="宋体" w:cs="宋体"/>
                <w:b/>
                <w:bCs/>
                <w:color w:val="000000" w:themeColor="text1"/>
                <w:kern w:val="0"/>
                <w:sz w:val="24"/>
                <w:szCs w:val="24"/>
                <w:highlight w:val="none"/>
              </w:rPr>
              <w:t>中标（成交）金额(元)</w:t>
            </w:r>
          </w:p>
        </w:tc>
        <w:tc>
          <w:tcPr>
            <w:tcW w:w="3260" w:type="dxa"/>
            <w:shd w:val="clear" w:color="auto" w:fill="FFFFFF"/>
            <w:tcMar>
              <w:top w:w="75" w:type="dxa"/>
              <w:left w:w="150" w:type="dxa"/>
              <w:bottom w:w="75" w:type="dxa"/>
              <w:right w:w="150" w:type="dxa"/>
            </w:tcMar>
            <w:vAlign w:val="center"/>
          </w:tcPr>
          <w:p w14:paraId="3A233F5B">
            <w:pPr>
              <w:widowControl/>
              <w:spacing w:after="150" w:line="300" w:lineRule="exact"/>
              <w:jc w:val="center"/>
              <w:rPr>
                <w:rFonts w:ascii="宋体" w:hAnsi="宋体" w:cs="宋体"/>
                <w:b/>
                <w:bCs/>
                <w:color w:val="000000" w:themeColor="text1"/>
                <w:kern w:val="0"/>
                <w:sz w:val="24"/>
                <w:szCs w:val="24"/>
                <w:highlight w:val="none"/>
              </w:rPr>
            </w:pPr>
            <w:r>
              <w:rPr>
                <w:rFonts w:ascii="宋体" w:hAnsi="宋体" w:cs="宋体"/>
                <w:b/>
                <w:bCs/>
                <w:color w:val="000000" w:themeColor="text1"/>
                <w:kern w:val="0"/>
                <w:sz w:val="24"/>
                <w:szCs w:val="24"/>
                <w:highlight w:val="none"/>
              </w:rPr>
              <w:t>中标供应商名称</w:t>
            </w:r>
          </w:p>
        </w:tc>
        <w:tc>
          <w:tcPr>
            <w:tcW w:w="3119" w:type="dxa"/>
            <w:shd w:val="clear" w:color="auto" w:fill="FFFFFF"/>
            <w:tcMar>
              <w:top w:w="75" w:type="dxa"/>
              <w:left w:w="150" w:type="dxa"/>
              <w:bottom w:w="75" w:type="dxa"/>
              <w:right w:w="150" w:type="dxa"/>
            </w:tcMar>
            <w:vAlign w:val="center"/>
          </w:tcPr>
          <w:p w14:paraId="5291B676">
            <w:pPr>
              <w:widowControl/>
              <w:spacing w:after="150" w:line="300" w:lineRule="exact"/>
              <w:jc w:val="center"/>
              <w:rPr>
                <w:rFonts w:ascii="宋体" w:hAnsi="宋体" w:cs="宋体"/>
                <w:b/>
                <w:bCs/>
                <w:color w:val="000000" w:themeColor="text1"/>
                <w:kern w:val="0"/>
                <w:sz w:val="24"/>
                <w:szCs w:val="24"/>
                <w:highlight w:val="none"/>
              </w:rPr>
            </w:pPr>
            <w:r>
              <w:rPr>
                <w:rFonts w:ascii="宋体" w:hAnsi="宋体" w:cs="宋体"/>
                <w:b/>
                <w:bCs/>
                <w:color w:val="000000" w:themeColor="text1"/>
                <w:kern w:val="0"/>
                <w:sz w:val="24"/>
                <w:szCs w:val="24"/>
                <w:highlight w:val="none"/>
              </w:rPr>
              <w:t>中标供应商地址</w:t>
            </w:r>
          </w:p>
        </w:tc>
      </w:tr>
      <w:tr w14:paraId="0BEDC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8" w:hRule="atLeast"/>
        </w:trPr>
        <w:tc>
          <w:tcPr>
            <w:tcW w:w="859" w:type="dxa"/>
            <w:tcMar>
              <w:top w:w="75" w:type="dxa"/>
              <w:left w:w="150" w:type="dxa"/>
              <w:bottom w:w="75" w:type="dxa"/>
              <w:right w:w="150" w:type="dxa"/>
            </w:tcMar>
            <w:vAlign w:val="center"/>
          </w:tcPr>
          <w:p w14:paraId="609D20D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themeColor="text1"/>
                <w:kern w:val="0"/>
                <w:sz w:val="24"/>
                <w:szCs w:val="24"/>
                <w:highlight w:val="none"/>
              </w:rPr>
            </w:pPr>
            <w:r>
              <w:rPr>
                <w:rFonts w:ascii="宋体" w:hAnsi="宋体" w:cs="宋体"/>
                <w:color w:val="000000" w:themeColor="text1"/>
                <w:kern w:val="0"/>
                <w:sz w:val="24"/>
                <w:szCs w:val="24"/>
                <w:highlight w:val="none"/>
              </w:rPr>
              <w:t>1</w:t>
            </w:r>
          </w:p>
        </w:tc>
        <w:tc>
          <w:tcPr>
            <w:tcW w:w="2835" w:type="dxa"/>
            <w:tcMar>
              <w:top w:w="75" w:type="dxa"/>
              <w:left w:w="150" w:type="dxa"/>
              <w:bottom w:w="75" w:type="dxa"/>
              <w:right w:w="150" w:type="dxa"/>
            </w:tcMar>
            <w:vAlign w:val="center"/>
          </w:tcPr>
          <w:p w14:paraId="4C318EC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常用项目投标总报价：775048.8（元），非常用项目投标总报价：75402.8（元）</w:t>
            </w:r>
          </w:p>
        </w:tc>
        <w:tc>
          <w:tcPr>
            <w:tcW w:w="3260" w:type="dxa"/>
            <w:tcMar>
              <w:top w:w="75" w:type="dxa"/>
              <w:left w:w="150" w:type="dxa"/>
              <w:bottom w:w="75" w:type="dxa"/>
              <w:right w:w="150" w:type="dxa"/>
            </w:tcMar>
            <w:vAlign w:val="center"/>
          </w:tcPr>
          <w:p w14:paraId="4D6E0C8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柳州市力求贸易有限公司</w:t>
            </w:r>
          </w:p>
        </w:tc>
        <w:tc>
          <w:tcPr>
            <w:tcW w:w="3119" w:type="dxa"/>
            <w:tcMar>
              <w:top w:w="75" w:type="dxa"/>
              <w:left w:w="150" w:type="dxa"/>
              <w:bottom w:w="75" w:type="dxa"/>
              <w:right w:w="150" w:type="dxa"/>
            </w:tcMar>
            <w:vAlign w:val="center"/>
          </w:tcPr>
          <w:p w14:paraId="7D8DB1C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柳州市柳北区三中路29号大东数码国际1栋11-6</w:t>
            </w:r>
          </w:p>
        </w:tc>
      </w:tr>
    </w:tbl>
    <w:p w14:paraId="10D950E2">
      <w:pPr>
        <w:widowControl/>
        <w:spacing w:before="75" w:after="75" w:line="300" w:lineRule="exact"/>
        <w:ind w:firstLine="480" w:firstLineChars="200"/>
        <w:jc w:val="left"/>
        <w:rPr>
          <w:rFonts w:ascii="仿宋" w:hAnsi="仿宋" w:cs="宋体"/>
          <w:color w:val="000000" w:themeColor="text1"/>
          <w:kern w:val="0"/>
          <w:sz w:val="27"/>
          <w:szCs w:val="27"/>
          <w:highlight w:val="none"/>
        </w:rPr>
      </w:pPr>
      <w:r>
        <w:rPr>
          <w:rFonts w:ascii="宋体" w:hAnsi="宋体" w:cs="宋体"/>
          <w:color w:val="000000" w:themeColor="text1"/>
          <w:kern w:val="0"/>
          <w:sz w:val="24"/>
          <w:szCs w:val="24"/>
          <w:highlight w:val="none"/>
        </w:rPr>
        <w:t>2.废标结果:</w:t>
      </w:r>
    </w:p>
    <w:tbl>
      <w:tblPr>
        <w:tblStyle w:val="9"/>
        <w:tblW w:w="50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58"/>
        <w:gridCol w:w="2835"/>
        <w:gridCol w:w="3260"/>
        <w:gridCol w:w="3120"/>
      </w:tblGrid>
      <w:tr w14:paraId="5C7D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26" w:type="pct"/>
            <w:tcMar>
              <w:top w:w="75" w:type="dxa"/>
              <w:left w:w="150" w:type="dxa"/>
              <w:bottom w:w="75" w:type="dxa"/>
              <w:right w:w="150" w:type="dxa"/>
            </w:tcMar>
            <w:vAlign w:val="center"/>
          </w:tcPr>
          <w:p w14:paraId="2AB84858">
            <w:pPr>
              <w:widowControl/>
              <w:spacing w:line="300" w:lineRule="exact"/>
              <w:rPr>
                <w:rFonts w:ascii="宋体" w:hAnsi="宋体" w:cs="宋体"/>
                <w:color w:val="000000" w:themeColor="text1"/>
                <w:kern w:val="0"/>
                <w:sz w:val="24"/>
                <w:szCs w:val="24"/>
                <w:highlight w:val="none"/>
              </w:rPr>
            </w:pPr>
            <w:r>
              <w:rPr>
                <w:rFonts w:ascii="宋体" w:hAnsi="宋体" w:cs="宋体"/>
                <w:color w:val="000000" w:themeColor="text1"/>
                <w:kern w:val="0"/>
                <w:sz w:val="24"/>
                <w:szCs w:val="24"/>
                <w:highlight w:val="none"/>
              </w:rPr>
              <w:t>序号</w:t>
            </w:r>
          </w:p>
        </w:tc>
        <w:tc>
          <w:tcPr>
            <w:tcW w:w="1407" w:type="pct"/>
            <w:tcMar>
              <w:top w:w="75" w:type="dxa"/>
              <w:left w:w="150" w:type="dxa"/>
              <w:bottom w:w="75" w:type="dxa"/>
              <w:right w:w="150" w:type="dxa"/>
            </w:tcMar>
            <w:vAlign w:val="center"/>
          </w:tcPr>
          <w:p w14:paraId="05F6FB23">
            <w:pPr>
              <w:widowControl/>
              <w:spacing w:after="150" w:line="300" w:lineRule="exact"/>
              <w:jc w:val="center"/>
              <w:rPr>
                <w:rFonts w:ascii="宋体" w:hAnsi="宋体" w:cs="宋体"/>
                <w:color w:val="000000" w:themeColor="text1"/>
                <w:kern w:val="0"/>
                <w:sz w:val="24"/>
                <w:szCs w:val="24"/>
                <w:highlight w:val="none"/>
              </w:rPr>
            </w:pPr>
            <w:r>
              <w:rPr>
                <w:rFonts w:ascii="宋体" w:hAnsi="宋体" w:cs="宋体"/>
                <w:color w:val="000000" w:themeColor="text1"/>
                <w:kern w:val="0"/>
                <w:sz w:val="24"/>
                <w:szCs w:val="24"/>
                <w:highlight w:val="none"/>
              </w:rPr>
              <w:t>标项名称</w:t>
            </w:r>
          </w:p>
        </w:tc>
        <w:tc>
          <w:tcPr>
            <w:tcW w:w="1618" w:type="pct"/>
            <w:tcMar>
              <w:top w:w="75" w:type="dxa"/>
              <w:left w:w="150" w:type="dxa"/>
              <w:bottom w:w="75" w:type="dxa"/>
              <w:right w:w="150" w:type="dxa"/>
            </w:tcMar>
            <w:vAlign w:val="center"/>
          </w:tcPr>
          <w:p w14:paraId="3BFC778E">
            <w:pPr>
              <w:widowControl/>
              <w:spacing w:after="150" w:line="300" w:lineRule="exact"/>
              <w:jc w:val="center"/>
              <w:rPr>
                <w:rFonts w:ascii="宋体" w:hAnsi="宋体" w:cs="宋体"/>
                <w:color w:val="000000" w:themeColor="text1"/>
                <w:kern w:val="0"/>
                <w:sz w:val="24"/>
                <w:szCs w:val="24"/>
                <w:highlight w:val="none"/>
              </w:rPr>
            </w:pPr>
            <w:r>
              <w:rPr>
                <w:rFonts w:ascii="宋体" w:hAnsi="宋体" w:cs="宋体"/>
                <w:color w:val="000000" w:themeColor="text1"/>
                <w:kern w:val="0"/>
                <w:sz w:val="24"/>
                <w:szCs w:val="24"/>
                <w:highlight w:val="none"/>
              </w:rPr>
              <w:t>废标理由</w:t>
            </w:r>
          </w:p>
        </w:tc>
        <w:tc>
          <w:tcPr>
            <w:tcW w:w="1548" w:type="pct"/>
            <w:tcMar>
              <w:top w:w="75" w:type="dxa"/>
              <w:left w:w="150" w:type="dxa"/>
              <w:bottom w:w="75" w:type="dxa"/>
              <w:right w:w="150" w:type="dxa"/>
            </w:tcMar>
            <w:vAlign w:val="center"/>
          </w:tcPr>
          <w:p w14:paraId="7F33D4E6">
            <w:pPr>
              <w:widowControl/>
              <w:spacing w:after="150" w:line="300" w:lineRule="exact"/>
              <w:jc w:val="center"/>
              <w:rPr>
                <w:rFonts w:ascii="宋体" w:hAnsi="宋体" w:cs="宋体"/>
                <w:color w:val="000000" w:themeColor="text1"/>
                <w:kern w:val="0"/>
                <w:sz w:val="24"/>
                <w:szCs w:val="24"/>
                <w:highlight w:val="none"/>
              </w:rPr>
            </w:pPr>
            <w:r>
              <w:rPr>
                <w:rFonts w:ascii="宋体" w:hAnsi="宋体" w:cs="宋体"/>
                <w:color w:val="000000" w:themeColor="text1"/>
                <w:kern w:val="0"/>
                <w:sz w:val="24"/>
                <w:szCs w:val="24"/>
                <w:highlight w:val="none"/>
              </w:rPr>
              <w:t>其他事项</w:t>
            </w:r>
          </w:p>
        </w:tc>
      </w:tr>
      <w:tr w14:paraId="290D7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426" w:type="pct"/>
            <w:tcMar>
              <w:top w:w="75" w:type="dxa"/>
              <w:left w:w="150" w:type="dxa"/>
              <w:bottom w:w="75" w:type="dxa"/>
              <w:right w:w="150" w:type="dxa"/>
            </w:tcMar>
            <w:vAlign w:val="center"/>
          </w:tcPr>
          <w:p w14:paraId="4D65B5D7">
            <w:pPr>
              <w:widowControl/>
              <w:spacing w:after="150" w:line="300" w:lineRule="exact"/>
              <w:jc w:val="center"/>
              <w:rPr>
                <w:rFonts w:cs="宋体" w:asciiTheme="majorEastAsia" w:hAnsiTheme="majorEastAsia" w:eastAsiaTheme="majorEastAsia"/>
                <w:color w:val="000000" w:themeColor="text1"/>
                <w:kern w:val="0"/>
                <w:sz w:val="24"/>
                <w:szCs w:val="24"/>
                <w:highlight w:val="none"/>
              </w:rPr>
            </w:pPr>
            <w:r>
              <w:rPr>
                <w:rFonts w:asciiTheme="majorEastAsia" w:hAnsiTheme="majorEastAsia" w:eastAsiaTheme="majorEastAsia"/>
                <w:color w:val="000000" w:themeColor="text1"/>
                <w:sz w:val="27"/>
                <w:szCs w:val="27"/>
                <w:highlight w:val="none"/>
              </w:rPr>
              <w:t>/</w:t>
            </w:r>
          </w:p>
        </w:tc>
        <w:tc>
          <w:tcPr>
            <w:tcW w:w="1407" w:type="pct"/>
            <w:tcMar>
              <w:top w:w="75" w:type="dxa"/>
              <w:left w:w="150" w:type="dxa"/>
              <w:bottom w:w="75" w:type="dxa"/>
              <w:right w:w="150" w:type="dxa"/>
            </w:tcMar>
            <w:vAlign w:val="center"/>
          </w:tcPr>
          <w:p w14:paraId="75CE3C7E">
            <w:pPr>
              <w:widowControl/>
              <w:spacing w:after="150" w:line="300" w:lineRule="exact"/>
              <w:jc w:val="center"/>
              <w:rPr>
                <w:rFonts w:cs="宋体" w:asciiTheme="majorEastAsia" w:hAnsiTheme="majorEastAsia" w:eastAsiaTheme="majorEastAsia"/>
                <w:color w:val="000000" w:themeColor="text1"/>
                <w:kern w:val="0"/>
                <w:sz w:val="24"/>
                <w:szCs w:val="24"/>
                <w:highlight w:val="none"/>
              </w:rPr>
            </w:pPr>
            <w:r>
              <w:rPr>
                <w:rFonts w:asciiTheme="majorEastAsia" w:hAnsiTheme="majorEastAsia" w:eastAsiaTheme="majorEastAsia"/>
                <w:color w:val="000000" w:themeColor="text1"/>
                <w:sz w:val="27"/>
                <w:szCs w:val="27"/>
                <w:highlight w:val="none"/>
              </w:rPr>
              <w:t>/</w:t>
            </w:r>
          </w:p>
        </w:tc>
        <w:tc>
          <w:tcPr>
            <w:tcW w:w="1618" w:type="pct"/>
            <w:tcMar>
              <w:top w:w="75" w:type="dxa"/>
              <w:left w:w="150" w:type="dxa"/>
              <w:bottom w:w="75" w:type="dxa"/>
              <w:right w:w="150" w:type="dxa"/>
            </w:tcMar>
            <w:vAlign w:val="center"/>
          </w:tcPr>
          <w:p w14:paraId="6FAF086B">
            <w:pPr>
              <w:widowControl/>
              <w:spacing w:after="150" w:line="300" w:lineRule="exact"/>
              <w:jc w:val="center"/>
              <w:rPr>
                <w:rFonts w:cs="宋体" w:asciiTheme="majorEastAsia" w:hAnsiTheme="majorEastAsia" w:eastAsiaTheme="majorEastAsia"/>
                <w:color w:val="000000" w:themeColor="text1"/>
                <w:kern w:val="0"/>
                <w:sz w:val="24"/>
                <w:szCs w:val="24"/>
                <w:highlight w:val="none"/>
              </w:rPr>
            </w:pPr>
            <w:r>
              <w:rPr>
                <w:rFonts w:asciiTheme="majorEastAsia" w:hAnsiTheme="majorEastAsia" w:eastAsiaTheme="majorEastAsia"/>
                <w:color w:val="000000" w:themeColor="text1"/>
                <w:sz w:val="27"/>
                <w:szCs w:val="27"/>
                <w:highlight w:val="none"/>
              </w:rPr>
              <w:t>/</w:t>
            </w:r>
          </w:p>
        </w:tc>
        <w:tc>
          <w:tcPr>
            <w:tcW w:w="1548" w:type="pct"/>
            <w:tcMar>
              <w:top w:w="75" w:type="dxa"/>
              <w:left w:w="150" w:type="dxa"/>
              <w:bottom w:w="75" w:type="dxa"/>
              <w:right w:w="150" w:type="dxa"/>
            </w:tcMar>
            <w:vAlign w:val="center"/>
          </w:tcPr>
          <w:p w14:paraId="52CD72B5">
            <w:pPr>
              <w:widowControl/>
              <w:spacing w:after="150" w:line="300" w:lineRule="exact"/>
              <w:jc w:val="center"/>
              <w:rPr>
                <w:rFonts w:ascii="宋体" w:hAnsi="宋体" w:cs="宋体"/>
                <w:color w:val="000000" w:themeColor="text1"/>
                <w:kern w:val="0"/>
                <w:sz w:val="24"/>
                <w:szCs w:val="24"/>
                <w:highlight w:val="none"/>
              </w:rPr>
            </w:pPr>
            <w:r>
              <w:rPr>
                <w:rFonts w:ascii="宋体" w:hAnsi="宋体" w:cs="宋体"/>
                <w:color w:val="000000" w:themeColor="text1"/>
                <w:kern w:val="0"/>
                <w:sz w:val="24"/>
                <w:szCs w:val="24"/>
                <w:highlight w:val="none"/>
              </w:rPr>
              <w:t>/</w:t>
            </w:r>
          </w:p>
        </w:tc>
      </w:tr>
    </w:tbl>
    <w:p w14:paraId="54BAE22B">
      <w:pPr>
        <w:widowControl/>
        <w:spacing w:line="400" w:lineRule="exact"/>
        <w:jc w:val="left"/>
        <w:rPr>
          <w:rFonts w:ascii="黑体" w:hAnsi="黑体" w:eastAsia="黑体" w:cs="宋体"/>
          <w:color w:val="000000" w:themeColor="text1"/>
          <w:kern w:val="0"/>
          <w:sz w:val="27"/>
          <w:szCs w:val="27"/>
          <w:highlight w:val="none"/>
        </w:rPr>
      </w:pPr>
      <w:r>
        <w:rPr>
          <w:rFonts w:hint="eastAsia" w:ascii="宋体" w:hAnsi="宋体" w:cs="Arial"/>
          <w:b/>
          <w:bCs/>
          <w:color w:val="000000" w:themeColor="text1"/>
          <w:kern w:val="0"/>
          <w:sz w:val="24"/>
          <w:szCs w:val="24"/>
          <w:highlight w:val="none"/>
        </w:rPr>
        <w:t>四、主要标的信息</w:t>
      </w:r>
    </w:p>
    <w:p w14:paraId="5C90667B">
      <w:pPr>
        <w:widowControl/>
        <w:spacing w:before="75" w:after="75" w:line="300" w:lineRule="exact"/>
        <w:ind w:firstLine="480" w:firstLineChars="200"/>
        <w:jc w:val="left"/>
        <w:rPr>
          <w:rFonts w:ascii="宋体" w:hAnsi="宋体" w:cs="宋体"/>
          <w:color w:val="000000" w:themeColor="text1"/>
          <w:kern w:val="0"/>
          <w:sz w:val="24"/>
          <w:szCs w:val="24"/>
          <w:highlight w:val="none"/>
        </w:rPr>
      </w:pPr>
      <w:r>
        <w:rPr>
          <w:rFonts w:ascii="宋体" w:hAnsi="宋体" w:cs="宋体"/>
          <w:color w:val="000000" w:themeColor="text1"/>
          <w:kern w:val="0"/>
          <w:sz w:val="24"/>
          <w:szCs w:val="24"/>
          <w:highlight w:val="none"/>
        </w:rPr>
        <w:t>货物类主要标的信息：</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75"/>
        <w:gridCol w:w="2053"/>
        <w:gridCol w:w="1641"/>
        <w:gridCol w:w="1517"/>
        <w:gridCol w:w="1400"/>
        <w:gridCol w:w="1300"/>
        <w:gridCol w:w="1565"/>
      </w:tblGrid>
      <w:tr w14:paraId="5A3A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3" w:hRule="atLeast"/>
        </w:trPr>
        <w:tc>
          <w:tcPr>
            <w:tcW w:w="286" w:type="pct"/>
            <w:tcMar>
              <w:top w:w="75" w:type="dxa"/>
              <w:left w:w="150" w:type="dxa"/>
              <w:bottom w:w="75" w:type="dxa"/>
              <w:right w:w="150" w:type="dxa"/>
            </w:tcMar>
            <w:vAlign w:val="center"/>
          </w:tcPr>
          <w:p w14:paraId="285EC634">
            <w:pPr>
              <w:keepNext w:val="0"/>
              <w:keepLines w:val="0"/>
              <w:pageBreakBefore w:val="0"/>
              <w:widowControl/>
              <w:kinsoku/>
              <w:overflowPunct/>
              <w:topLinePunct w:val="0"/>
              <w:autoSpaceDE/>
              <w:autoSpaceDN/>
              <w:bidi w:val="0"/>
              <w:adjustRightInd/>
              <w:snapToGrid/>
              <w:spacing w:line="440" w:lineRule="exact"/>
              <w:jc w:val="center"/>
              <w:rPr>
                <w:rFonts w:ascii="宋体" w:hAnsi="宋体" w:cs="宋体"/>
                <w:color w:val="000000" w:themeColor="text1"/>
                <w:kern w:val="0"/>
                <w:sz w:val="24"/>
                <w:szCs w:val="24"/>
                <w:highlight w:val="none"/>
              </w:rPr>
            </w:pPr>
            <w:r>
              <w:rPr>
                <w:rFonts w:ascii="宋体" w:hAnsi="宋体" w:cs="宋体"/>
                <w:color w:val="000000" w:themeColor="text1"/>
                <w:kern w:val="0"/>
                <w:sz w:val="24"/>
                <w:szCs w:val="24"/>
                <w:highlight w:val="none"/>
              </w:rPr>
              <w:t>序号</w:t>
            </w:r>
          </w:p>
        </w:tc>
        <w:tc>
          <w:tcPr>
            <w:tcW w:w="1021" w:type="pct"/>
            <w:tcMar>
              <w:top w:w="75" w:type="dxa"/>
              <w:left w:w="150" w:type="dxa"/>
              <w:bottom w:w="75" w:type="dxa"/>
              <w:right w:w="150" w:type="dxa"/>
            </w:tcMar>
            <w:vAlign w:val="center"/>
          </w:tcPr>
          <w:p w14:paraId="56B1E4B5">
            <w:pPr>
              <w:keepNext w:val="0"/>
              <w:keepLines w:val="0"/>
              <w:pageBreakBefore w:val="0"/>
              <w:widowControl/>
              <w:kinsoku/>
              <w:overflowPunct/>
              <w:topLinePunct w:val="0"/>
              <w:autoSpaceDE/>
              <w:autoSpaceDN/>
              <w:bidi w:val="0"/>
              <w:adjustRightInd/>
              <w:snapToGrid/>
              <w:spacing w:line="440" w:lineRule="exact"/>
              <w:jc w:val="center"/>
              <w:rPr>
                <w:rFonts w:ascii="宋体" w:hAnsi="宋体" w:cs="宋体"/>
                <w:color w:val="000000" w:themeColor="text1"/>
                <w:kern w:val="0"/>
                <w:sz w:val="24"/>
                <w:szCs w:val="24"/>
                <w:highlight w:val="none"/>
              </w:rPr>
            </w:pPr>
            <w:r>
              <w:rPr>
                <w:rFonts w:ascii="宋体" w:hAnsi="宋体" w:cs="宋体"/>
                <w:color w:val="000000" w:themeColor="text1"/>
                <w:kern w:val="0"/>
                <w:sz w:val="24"/>
                <w:szCs w:val="24"/>
                <w:highlight w:val="none"/>
              </w:rPr>
              <w:t>标项名称</w:t>
            </w:r>
          </w:p>
        </w:tc>
        <w:tc>
          <w:tcPr>
            <w:tcW w:w="816" w:type="pct"/>
            <w:tcMar>
              <w:top w:w="75" w:type="dxa"/>
              <w:left w:w="150" w:type="dxa"/>
              <w:bottom w:w="75" w:type="dxa"/>
              <w:right w:w="150" w:type="dxa"/>
            </w:tcMar>
            <w:vAlign w:val="center"/>
          </w:tcPr>
          <w:p w14:paraId="3AAC1956">
            <w:pPr>
              <w:keepNext w:val="0"/>
              <w:keepLines w:val="0"/>
              <w:pageBreakBefore w:val="0"/>
              <w:widowControl/>
              <w:kinsoku/>
              <w:overflowPunct/>
              <w:topLinePunct w:val="0"/>
              <w:autoSpaceDE/>
              <w:autoSpaceDN/>
              <w:bidi w:val="0"/>
              <w:adjustRightInd/>
              <w:snapToGrid/>
              <w:spacing w:line="440" w:lineRule="exact"/>
              <w:jc w:val="center"/>
              <w:rPr>
                <w:rFonts w:ascii="宋体" w:hAnsi="宋体" w:cs="宋体"/>
                <w:color w:val="000000" w:themeColor="text1"/>
                <w:kern w:val="0"/>
                <w:sz w:val="24"/>
                <w:szCs w:val="24"/>
                <w:highlight w:val="none"/>
              </w:rPr>
            </w:pPr>
            <w:r>
              <w:rPr>
                <w:rFonts w:ascii="宋体" w:hAnsi="宋体" w:cs="宋体"/>
                <w:color w:val="000000" w:themeColor="text1"/>
                <w:kern w:val="0"/>
                <w:sz w:val="24"/>
                <w:szCs w:val="24"/>
                <w:highlight w:val="none"/>
              </w:rPr>
              <w:t>标的名称</w:t>
            </w:r>
          </w:p>
        </w:tc>
        <w:tc>
          <w:tcPr>
            <w:tcW w:w="754" w:type="pct"/>
            <w:tcMar>
              <w:top w:w="75" w:type="dxa"/>
              <w:left w:w="150" w:type="dxa"/>
              <w:bottom w:w="75" w:type="dxa"/>
              <w:right w:w="150" w:type="dxa"/>
            </w:tcMar>
            <w:vAlign w:val="center"/>
          </w:tcPr>
          <w:p w14:paraId="6947F450">
            <w:pPr>
              <w:keepNext w:val="0"/>
              <w:keepLines w:val="0"/>
              <w:pageBreakBefore w:val="0"/>
              <w:widowControl/>
              <w:kinsoku/>
              <w:overflowPunct/>
              <w:topLinePunct w:val="0"/>
              <w:autoSpaceDE/>
              <w:autoSpaceDN/>
              <w:bidi w:val="0"/>
              <w:adjustRightInd/>
              <w:snapToGrid/>
              <w:spacing w:line="440" w:lineRule="exact"/>
              <w:jc w:val="center"/>
              <w:rPr>
                <w:rFonts w:ascii="宋体" w:hAnsi="宋体" w:cs="宋体"/>
                <w:color w:val="000000" w:themeColor="text1"/>
                <w:kern w:val="0"/>
                <w:sz w:val="24"/>
                <w:szCs w:val="24"/>
                <w:highlight w:val="none"/>
              </w:rPr>
            </w:pPr>
            <w:r>
              <w:rPr>
                <w:rFonts w:ascii="宋体" w:hAnsi="宋体" w:cs="宋体"/>
                <w:color w:val="000000" w:themeColor="text1"/>
                <w:kern w:val="0"/>
                <w:sz w:val="24"/>
                <w:szCs w:val="24"/>
                <w:highlight w:val="none"/>
              </w:rPr>
              <w:t>品牌</w:t>
            </w:r>
          </w:p>
        </w:tc>
        <w:tc>
          <w:tcPr>
            <w:tcW w:w="696" w:type="pct"/>
            <w:tcMar>
              <w:top w:w="75" w:type="dxa"/>
              <w:left w:w="150" w:type="dxa"/>
              <w:bottom w:w="75" w:type="dxa"/>
              <w:right w:w="150" w:type="dxa"/>
            </w:tcMar>
            <w:vAlign w:val="center"/>
          </w:tcPr>
          <w:p w14:paraId="2E0B58F2">
            <w:pPr>
              <w:keepNext w:val="0"/>
              <w:keepLines w:val="0"/>
              <w:pageBreakBefore w:val="0"/>
              <w:widowControl/>
              <w:kinsoku/>
              <w:overflowPunct/>
              <w:topLinePunct w:val="0"/>
              <w:autoSpaceDE/>
              <w:autoSpaceDN/>
              <w:bidi w:val="0"/>
              <w:adjustRightInd/>
              <w:snapToGrid/>
              <w:spacing w:line="440" w:lineRule="exact"/>
              <w:jc w:val="center"/>
              <w:rPr>
                <w:rFonts w:ascii="宋体" w:hAnsi="宋体" w:cs="宋体"/>
                <w:color w:val="000000" w:themeColor="text1"/>
                <w:kern w:val="0"/>
                <w:sz w:val="24"/>
                <w:szCs w:val="24"/>
                <w:highlight w:val="none"/>
              </w:rPr>
            </w:pPr>
            <w:r>
              <w:rPr>
                <w:rFonts w:ascii="宋体" w:hAnsi="宋体" w:cs="宋体"/>
                <w:color w:val="000000" w:themeColor="text1"/>
                <w:kern w:val="0"/>
                <w:sz w:val="24"/>
                <w:szCs w:val="24"/>
                <w:highlight w:val="none"/>
              </w:rPr>
              <w:t>数量</w:t>
            </w:r>
          </w:p>
        </w:tc>
        <w:tc>
          <w:tcPr>
            <w:tcW w:w="646" w:type="pct"/>
            <w:tcMar>
              <w:top w:w="75" w:type="dxa"/>
              <w:left w:w="150" w:type="dxa"/>
              <w:bottom w:w="75" w:type="dxa"/>
              <w:right w:w="150" w:type="dxa"/>
            </w:tcMar>
            <w:vAlign w:val="center"/>
          </w:tcPr>
          <w:p w14:paraId="67212B82">
            <w:pPr>
              <w:keepNext w:val="0"/>
              <w:keepLines w:val="0"/>
              <w:pageBreakBefore w:val="0"/>
              <w:widowControl/>
              <w:kinsoku/>
              <w:overflowPunct/>
              <w:topLinePunct w:val="0"/>
              <w:autoSpaceDE/>
              <w:autoSpaceDN/>
              <w:bidi w:val="0"/>
              <w:adjustRightInd/>
              <w:snapToGrid/>
              <w:spacing w:line="440" w:lineRule="exact"/>
              <w:jc w:val="center"/>
              <w:rPr>
                <w:rFonts w:ascii="宋体" w:hAnsi="宋体" w:cs="宋体"/>
                <w:color w:val="000000" w:themeColor="text1"/>
                <w:kern w:val="0"/>
                <w:sz w:val="24"/>
                <w:szCs w:val="24"/>
                <w:highlight w:val="none"/>
              </w:rPr>
            </w:pPr>
            <w:r>
              <w:rPr>
                <w:rFonts w:ascii="宋体" w:hAnsi="宋体" w:cs="宋体"/>
                <w:color w:val="000000" w:themeColor="text1"/>
                <w:kern w:val="0"/>
                <w:sz w:val="24"/>
                <w:szCs w:val="24"/>
                <w:highlight w:val="none"/>
              </w:rPr>
              <w:t>单价（元）</w:t>
            </w:r>
          </w:p>
        </w:tc>
        <w:tc>
          <w:tcPr>
            <w:tcW w:w="778" w:type="pct"/>
            <w:tcMar>
              <w:top w:w="75" w:type="dxa"/>
              <w:left w:w="150" w:type="dxa"/>
              <w:bottom w:w="75" w:type="dxa"/>
              <w:right w:w="150" w:type="dxa"/>
            </w:tcMar>
            <w:vAlign w:val="center"/>
          </w:tcPr>
          <w:p w14:paraId="0B885B3C">
            <w:pPr>
              <w:keepNext w:val="0"/>
              <w:keepLines w:val="0"/>
              <w:pageBreakBefore w:val="0"/>
              <w:widowControl/>
              <w:kinsoku/>
              <w:overflowPunct/>
              <w:topLinePunct w:val="0"/>
              <w:autoSpaceDE/>
              <w:autoSpaceDN/>
              <w:bidi w:val="0"/>
              <w:adjustRightInd/>
              <w:snapToGrid/>
              <w:spacing w:line="440" w:lineRule="exact"/>
              <w:jc w:val="center"/>
              <w:rPr>
                <w:rFonts w:ascii="宋体" w:hAnsi="宋体" w:cs="宋体"/>
                <w:color w:val="000000" w:themeColor="text1"/>
                <w:kern w:val="0"/>
                <w:sz w:val="24"/>
                <w:szCs w:val="24"/>
                <w:highlight w:val="none"/>
              </w:rPr>
            </w:pPr>
            <w:r>
              <w:rPr>
                <w:rFonts w:ascii="宋体" w:hAnsi="宋体" w:cs="宋体"/>
                <w:color w:val="000000" w:themeColor="text1"/>
                <w:kern w:val="0"/>
                <w:sz w:val="24"/>
                <w:szCs w:val="24"/>
                <w:highlight w:val="none"/>
              </w:rPr>
              <w:t>规格型号</w:t>
            </w:r>
          </w:p>
        </w:tc>
      </w:tr>
      <w:tr w14:paraId="7E86B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9" w:hRule="atLeast"/>
        </w:trPr>
        <w:tc>
          <w:tcPr>
            <w:tcW w:w="286" w:type="pct"/>
            <w:tcMar>
              <w:top w:w="75" w:type="dxa"/>
              <w:left w:w="150" w:type="dxa"/>
              <w:bottom w:w="75" w:type="dxa"/>
              <w:right w:w="150" w:type="dxa"/>
            </w:tcMar>
            <w:vAlign w:val="center"/>
          </w:tcPr>
          <w:p w14:paraId="478D1759">
            <w:pPr>
              <w:keepNext w:val="0"/>
              <w:keepLines w:val="0"/>
              <w:pageBreakBefore w:val="0"/>
              <w:numPr>
                <w:ilvl w:val="0"/>
                <w:numId w:val="0"/>
              </w:numPr>
              <w:kinsoku/>
              <w:overflowPunct/>
              <w:topLinePunct w:val="0"/>
              <w:autoSpaceDE/>
              <w:autoSpaceDN/>
              <w:bidi w:val="0"/>
              <w:adjustRightInd/>
              <w:snapToGrid/>
              <w:spacing w:line="240" w:lineRule="auto"/>
              <w:ind w:left="0" w:leftChars="0" w:firstLine="0" w:firstLineChars="0"/>
              <w:jc w:val="center"/>
              <w:rPr>
                <w:rFonts w:ascii="宋体" w:hAnsi="宋体" w:cs="宋体"/>
                <w:color w:val="000000" w:themeColor="text1"/>
                <w:kern w:val="0"/>
                <w:sz w:val="24"/>
                <w:szCs w:val="24"/>
                <w:highlight w:val="none"/>
              </w:rPr>
            </w:pPr>
            <w:r>
              <w:rPr>
                <w:rFonts w:hint="eastAsia" w:ascii="宋体" w:hAnsi="宋体" w:eastAsia="宋体" w:cs="宋体"/>
                <w:color w:val="000000" w:themeColor="text1"/>
                <w:kern w:val="0"/>
                <w:sz w:val="24"/>
                <w:szCs w:val="24"/>
                <w:lang w:val="en-US" w:eastAsia="zh-CN" w:bidi="ar-SA"/>
              </w:rPr>
              <w:t>1</w:t>
            </w:r>
          </w:p>
        </w:tc>
        <w:tc>
          <w:tcPr>
            <w:tcW w:w="1021" w:type="pct"/>
            <w:tcMar>
              <w:top w:w="75" w:type="dxa"/>
              <w:left w:w="150" w:type="dxa"/>
              <w:bottom w:w="75" w:type="dxa"/>
              <w:right w:w="150" w:type="dxa"/>
            </w:tcMar>
            <w:vAlign w:val="center"/>
          </w:tcPr>
          <w:p w14:paraId="2339B629">
            <w:pPr>
              <w:keepNext w:val="0"/>
              <w:keepLines w:val="0"/>
              <w:pageBreakBefore w:val="0"/>
              <w:widowControl/>
              <w:kinsoku/>
              <w:overflowPunct/>
              <w:topLinePunct w:val="0"/>
              <w:autoSpaceDE/>
              <w:autoSpaceDN/>
              <w:bidi w:val="0"/>
              <w:adjustRightInd/>
              <w:snapToGrid/>
              <w:spacing w:line="240" w:lineRule="auto"/>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日用百货物资采购项目</w:t>
            </w:r>
          </w:p>
        </w:tc>
        <w:tc>
          <w:tcPr>
            <w:tcW w:w="816" w:type="pct"/>
            <w:tcMar>
              <w:top w:w="75" w:type="dxa"/>
              <w:left w:w="150" w:type="dxa"/>
              <w:bottom w:w="75" w:type="dxa"/>
              <w:right w:w="150" w:type="dxa"/>
            </w:tcMar>
            <w:vAlign w:val="center"/>
          </w:tcPr>
          <w:p w14:paraId="5C59361C">
            <w:pPr>
              <w:keepNext w:val="0"/>
              <w:keepLines w:val="0"/>
              <w:pageBreakBefore w:val="0"/>
              <w:widowControl/>
              <w:kinsoku/>
              <w:overflowPunct/>
              <w:topLinePunct w:val="0"/>
              <w:autoSpaceDE/>
              <w:autoSpaceDN/>
              <w:bidi w:val="0"/>
              <w:adjustRightInd/>
              <w:snapToGrid/>
              <w:spacing w:line="240" w:lineRule="auto"/>
              <w:jc w:val="center"/>
              <w:rPr>
                <w:rFonts w:hint="default" w:ascii="宋体" w:hAnsi="宋体" w:eastAsia="宋体" w:cs="宋体"/>
                <w:color w:val="000000" w:themeColor="text1"/>
                <w:kern w:val="0"/>
                <w:sz w:val="24"/>
                <w:szCs w:val="24"/>
                <w:highlight w:val="none"/>
                <w:lang w:val="en-US" w:eastAsia="zh-CN"/>
              </w:rPr>
            </w:pPr>
            <w:r>
              <w:rPr>
                <w:rFonts w:hint="eastAsia" w:ascii="宋体" w:hAnsi="宋体" w:cs="宋体"/>
                <w:color w:val="000000" w:themeColor="text1"/>
                <w:kern w:val="0"/>
                <w:sz w:val="24"/>
                <w:szCs w:val="24"/>
                <w:highlight w:val="none"/>
                <w:lang w:val="en-US" w:eastAsia="zh-CN"/>
              </w:rPr>
              <w:t>详见附件</w:t>
            </w:r>
          </w:p>
        </w:tc>
        <w:tc>
          <w:tcPr>
            <w:tcW w:w="754" w:type="pct"/>
            <w:tcMar>
              <w:top w:w="75" w:type="dxa"/>
              <w:left w:w="150" w:type="dxa"/>
              <w:bottom w:w="75" w:type="dxa"/>
              <w:right w:w="150" w:type="dxa"/>
            </w:tcMar>
            <w:vAlign w:val="center"/>
          </w:tcPr>
          <w:p w14:paraId="6A998E87">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color w:val="000000" w:themeColor="text1"/>
                <w:kern w:val="0"/>
                <w:sz w:val="24"/>
                <w:szCs w:val="24"/>
                <w:highlight w:val="none"/>
                <w:lang w:eastAsia="zh-CN"/>
              </w:rPr>
            </w:pPr>
            <w:r>
              <w:rPr>
                <w:rFonts w:hint="eastAsia" w:ascii="宋体" w:hAnsi="宋体" w:cs="宋体"/>
                <w:color w:val="000000" w:themeColor="text1"/>
                <w:kern w:val="0"/>
                <w:sz w:val="24"/>
                <w:szCs w:val="24"/>
                <w:highlight w:val="none"/>
                <w:lang w:val="en-US" w:eastAsia="zh-CN"/>
              </w:rPr>
              <w:t>详见附件</w:t>
            </w:r>
          </w:p>
        </w:tc>
        <w:tc>
          <w:tcPr>
            <w:tcW w:w="696" w:type="pct"/>
            <w:tcMar>
              <w:top w:w="75" w:type="dxa"/>
              <w:left w:w="150" w:type="dxa"/>
              <w:bottom w:w="75" w:type="dxa"/>
              <w:right w:w="150" w:type="dxa"/>
            </w:tcMar>
            <w:vAlign w:val="center"/>
          </w:tcPr>
          <w:p w14:paraId="2E1AAD5F">
            <w:pPr>
              <w:keepNext w:val="0"/>
              <w:keepLines w:val="0"/>
              <w:pageBreakBefore w:val="0"/>
              <w:widowControl/>
              <w:kinsoku/>
              <w:overflowPunct/>
              <w:topLinePunct w:val="0"/>
              <w:autoSpaceDE/>
              <w:autoSpaceDN/>
              <w:bidi w:val="0"/>
              <w:adjustRightInd/>
              <w:snapToGrid/>
              <w:spacing w:line="240" w:lineRule="auto"/>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lang w:val="en-US" w:eastAsia="zh-CN"/>
              </w:rPr>
              <w:t>详见附件</w:t>
            </w:r>
          </w:p>
        </w:tc>
        <w:tc>
          <w:tcPr>
            <w:tcW w:w="646" w:type="pct"/>
            <w:tcMar>
              <w:top w:w="75" w:type="dxa"/>
              <w:left w:w="150" w:type="dxa"/>
              <w:bottom w:w="75" w:type="dxa"/>
              <w:right w:w="150" w:type="dxa"/>
            </w:tcMar>
            <w:vAlign w:val="center"/>
          </w:tcPr>
          <w:p w14:paraId="2DA5F634">
            <w:pPr>
              <w:keepNext w:val="0"/>
              <w:keepLines w:val="0"/>
              <w:pageBreakBefore w:val="0"/>
              <w:kinsoku/>
              <w:overflowPunct/>
              <w:topLinePunct w:val="0"/>
              <w:autoSpaceDE/>
              <w:autoSpaceDN/>
              <w:bidi w:val="0"/>
              <w:adjustRightInd/>
              <w:snapToGrid/>
              <w:spacing w:line="240" w:lineRule="auto"/>
              <w:jc w:val="center"/>
              <w:rPr>
                <w:rFonts w:hint="default" w:ascii="宋体" w:hAnsi="宋体"/>
                <w:color w:val="000000" w:themeColor="text1"/>
                <w:sz w:val="24"/>
                <w:szCs w:val="24"/>
                <w:highlight w:val="none"/>
                <w:lang w:val="en-US"/>
              </w:rPr>
            </w:pPr>
            <w:r>
              <w:rPr>
                <w:rFonts w:hint="eastAsia" w:ascii="宋体" w:hAnsi="宋体" w:cs="宋体"/>
                <w:color w:val="000000" w:themeColor="text1"/>
                <w:kern w:val="0"/>
                <w:sz w:val="24"/>
                <w:szCs w:val="24"/>
                <w:highlight w:val="none"/>
                <w:lang w:val="en-US" w:eastAsia="zh-CN"/>
              </w:rPr>
              <w:t>850451.6</w:t>
            </w:r>
          </w:p>
        </w:tc>
        <w:tc>
          <w:tcPr>
            <w:tcW w:w="778" w:type="pct"/>
            <w:tcMar>
              <w:top w:w="75" w:type="dxa"/>
              <w:left w:w="150" w:type="dxa"/>
              <w:bottom w:w="75" w:type="dxa"/>
              <w:right w:w="150" w:type="dxa"/>
            </w:tcMar>
            <w:vAlign w:val="center"/>
          </w:tcPr>
          <w:p w14:paraId="303ADE07">
            <w:pPr>
              <w:keepNext w:val="0"/>
              <w:keepLines w:val="0"/>
              <w:pageBreakBefore w:val="0"/>
              <w:widowControl/>
              <w:kinsoku/>
              <w:overflowPunct/>
              <w:topLinePunct w:val="0"/>
              <w:autoSpaceDE/>
              <w:autoSpaceDN/>
              <w:bidi w:val="0"/>
              <w:adjustRightInd/>
              <w:snapToGrid/>
              <w:spacing w:line="240" w:lineRule="auto"/>
              <w:jc w:val="center"/>
              <w:textAlignment w:val="center"/>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lang w:val="en-US" w:eastAsia="zh-CN"/>
              </w:rPr>
              <w:t>详见附件</w:t>
            </w:r>
          </w:p>
        </w:tc>
      </w:tr>
    </w:tbl>
    <w:p w14:paraId="1D3D8BC9">
      <w:pPr>
        <w:keepNext w:val="0"/>
        <w:keepLines w:val="0"/>
        <w:pageBreakBefore w:val="0"/>
        <w:widowControl/>
        <w:kinsoku/>
        <w:overflowPunct/>
        <w:autoSpaceDE/>
        <w:autoSpaceDN/>
        <w:bidi w:val="0"/>
        <w:adjustRightInd/>
        <w:spacing w:line="360" w:lineRule="auto"/>
        <w:jc w:val="left"/>
        <w:textAlignment w:val="auto"/>
        <w:rPr>
          <w:rFonts w:ascii="宋体" w:hAnsi="宋体" w:cs="宋体"/>
          <w:color w:val="000000" w:themeColor="text1"/>
          <w:kern w:val="0"/>
          <w:sz w:val="24"/>
          <w:szCs w:val="24"/>
          <w:highlight w:val="none"/>
        </w:rPr>
      </w:pPr>
      <w:r>
        <w:rPr>
          <w:rFonts w:hint="eastAsia" w:ascii="宋体" w:hAnsi="宋体" w:cs="Arial"/>
          <w:b/>
          <w:bCs/>
          <w:color w:val="000000" w:themeColor="text1"/>
          <w:kern w:val="0"/>
          <w:sz w:val="24"/>
          <w:szCs w:val="24"/>
          <w:highlight w:val="none"/>
        </w:rPr>
        <w:t>五、评审专家（单一来源采购人员）名单：</w:t>
      </w:r>
    </w:p>
    <w:p w14:paraId="2195A123">
      <w:pPr>
        <w:keepNext w:val="0"/>
        <w:keepLines w:val="0"/>
        <w:pageBreakBefore w:val="0"/>
        <w:widowControl/>
        <w:kinsoku/>
        <w:overflowPunct/>
        <w:autoSpaceDE/>
        <w:autoSpaceDN/>
        <w:bidi w:val="0"/>
        <w:adjustRightInd/>
        <w:spacing w:line="360" w:lineRule="auto"/>
        <w:ind w:firstLine="480" w:firstLineChars="200"/>
        <w:jc w:val="left"/>
        <w:textAlignment w:val="auto"/>
        <w:rPr>
          <w:rFonts w:ascii="宋体" w:hAnsi="宋体" w:cs="Arial"/>
          <w:color w:val="000000" w:themeColor="text1"/>
          <w:kern w:val="0"/>
          <w:sz w:val="24"/>
          <w:szCs w:val="24"/>
          <w:highlight w:val="none"/>
        </w:rPr>
      </w:pPr>
      <w:r>
        <w:rPr>
          <w:rFonts w:hint="eastAsia" w:ascii="宋体" w:hAnsi="宋体" w:cs="Arial"/>
          <w:color w:val="000000" w:themeColor="text1"/>
          <w:kern w:val="0"/>
          <w:sz w:val="24"/>
          <w:szCs w:val="24"/>
          <w:highlight w:val="none"/>
        </w:rPr>
        <w:t>江菊（自行抽取），周萍（自行抽取），黄党生（自行抽取），廖幼敏（第1分标采购人代表）（自行抽取），柳元（自行抽取）</w:t>
      </w:r>
    </w:p>
    <w:p w14:paraId="643D2DE7">
      <w:pPr>
        <w:keepNext w:val="0"/>
        <w:keepLines w:val="0"/>
        <w:pageBreakBefore w:val="0"/>
        <w:widowControl/>
        <w:kinsoku/>
        <w:overflowPunct/>
        <w:autoSpaceDE/>
        <w:autoSpaceDN/>
        <w:bidi w:val="0"/>
        <w:adjustRightInd/>
        <w:spacing w:line="360" w:lineRule="auto"/>
        <w:jc w:val="left"/>
        <w:textAlignment w:val="auto"/>
        <w:rPr>
          <w:rFonts w:ascii="黑体" w:hAnsi="黑体" w:eastAsia="黑体" w:cs="宋体"/>
          <w:color w:val="000000" w:themeColor="text1"/>
          <w:kern w:val="0"/>
          <w:sz w:val="27"/>
          <w:szCs w:val="27"/>
          <w:highlight w:val="none"/>
        </w:rPr>
      </w:pPr>
      <w:r>
        <w:rPr>
          <w:rFonts w:hint="eastAsia" w:ascii="宋体" w:hAnsi="宋体" w:cs="Arial"/>
          <w:b/>
          <w:bCs/>
          <w:color w:val="000000" w:themeColor="text1"/>
          <w:kern w:val="0"/>
          <w:sz w:val="24"/>
          <w:szCs w:val="24"/>
          <w:highlight w:val="none"/>
        </w:rPr>
        <w:t>六、代理服务收费标准及金额：</w:t>
      </w:r>
    </w:p>
    <w:p w14:paraId="4D92D709">
      <w:pPr>
        <w:keepNext w:val="0"/>
        <w:keepLines w:val="0"/>
        <w:pageBreakBefore w:val="0"/>
        <w:widowControl/>
        <w:kinsoku/>
        <w:wordWrap w:val="0"/>
        <w:overflowPunct/>
        <w:topLinePunct/>
        <w:autoSpaceDE/>
        <w:autoSpaceDN/>
        <w:bidi w:val="0"/>
        <w:adjustRightInd/>
        <w:spacing w:line="360" w:lineRule="auto"/>
        <w:ind w:firstLine="480" w:firstLineChars="200"/>
        <w:jc w:val="left"/>
        <w:textAlignment w:val="auto"/>
        <w:rPr>
          <w:rFonts w:ascii="宋体" w:hAnsi="宋体" w:cs="宋体"/>
          <w:color w:val="000000" w:themeColor="text1"/>
          <w:kern w:val="0"/>
          <w:sz w:val="24"/>
          <w:szCs w:val="24"/>
          <w:highlight w:val="none"/>
        </w:rPr>
      </w:pPr>
      <w:r>
        <w:rPr>
          <w:rFonts w:ascii="宋体" w:hAnsi="宋体" w:cs="宋体"/>
          <w:color w:val="000000" w:themeColor="text1"/>
          <w:kern w:val="0"/>
          <w:sz w:val="24"/>
          <w:szCs w:val="24"/>
          <w:highlight w:val="none"/>
        </w:rPr>
        <w:t>1.代理服务收费标准：</w:t>
      </w:r>
      <w:r>
        <w:rPr>
          <w:rFonts w:hint="eastAsia" w:ascii="宋体" w:hAnsi="宋体" w:cs="宋体"/>
          <w:color w:val="000000" w:themeColor="text1"/>
          <w:kern w:val="0"/>
          <w:sz w:val="24"/>
          <w:szCs w:val="24"/>
          <w:highlight w:val="none"/>
        </w:rPr>
        <w:t>本项目的代理服务费按</w:t>
      </w:r>
      <w:r>
        <w:rPr>
          <w:rFonts w:hint="eastAsia" w:ascii="宋体" w:hAnsi="宋体" w:cs="宋体"/>
          <w:color w:val="000000" w:themeColor="text1"/>
          <w:kern w:val="0"/>
          <w:sz w:val="24"/>
          <w:szCs w:val="24"/>
          <w:highlight w:val="none"/>
          <w:lang w:val="en-US" w:eastAsia="zh-CN"/>
        </w:rPr>
        <w:t>采购文件“投标人</w:t>
      </w:r>
      <w:r>
        <w:rPr>
          <w:rFonts w:hint="eastAsia" w:ascii="宋体" w:hAnsi="宋体" w:cs="宋体"/>
          <w:color w:val="000000" w:themeColor="text1"/>
          <w:kern w:val="0"/>
          <w:sz w:val="24"/>
          <w:szCs w:val="24"/>
          <w:highlight w:val="none"/>
        </w:rPr>
        <w:t>须知</w:t>
      </w:r>
      <w:r>
        <w:rPr>
          <w:rFonts w:hint="eastAsia" w:ascii="宋体" w:hAnsi="宋体" w:cs="宋体"/>
          <w:color w:val="000000" w:themeColor="text1"/>
          <w:kern w:val="0"/>
          <w:sz w:val="24"/>
          <w:szCs w:val="24"/>
          <w:highlight w:val="none"/>
          <w:lang w:eastAsia="zh-CN"/>
        </w:rPr>
        <w:t>”</w:t>
      </w:r>
      <w:r>
        <w:rPr>
          <w:rFonts w:hint="eastAsia" w:ascii="宋体" w:hAnsi="宋体" w:cs="宋体"/>
          <w:color w:val="000000" w:themeColor="text1"/>
          <w:kern w:val="0"/>
          <w:sz w:val="24"/>
          <w:szCs w:val="24"/>
          <w:highlight w:val="none"/>
        </w:rPr>
        <w:t>第40.2款规定的标准采用差额定率累进计费方式下浮20%计算（取整到元），由中标供应商向采购代理机构支付。</w:t>
      </w:r>
    </w:p>
    <w:p w14:paraId="17FF4EED">
      <w:pPr>
        <w:keepNext w:val="0"/>
        <w:keepLines w:val="0"/>
        <w:pageBreakBefore w:val="0"/>
        <w:widowControl/>
        <w:kinsoku/>
        <w:wordWrap w:val="0"/>
        <w:overflowPunct/>
        <w:topLinePunct/>
        <w:autoSpaceDE/>
        <w:autoSpaceDN/>
        <w:bidi w:val="0"/>
        <w:adjustRightIn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lang w:val="en-US" w:eastAsia="zh-CN"/>
        </w:rPr>
      </w:pPr>
      <w:r>
        <w:rPr>
          <w:rFonts w:ascii="宋体" w:hAnsi="宋体" w:cs="宋体"/>
          <w:color w:val="000000" w:themeColor="text1"/>
          <w:kern w:val="0"/>
          <w:sz w:val="24"/>
          <w:szCs w:val="24"/>
          <w:highlight w:val="none"/>
        </w:rPr>
        <w:t>2.代理服务收费金额（元）：</w:t>
      </w:r>
      <w:r>
        <w:rPr>
          <w:rFonts w:hint="eastAsia" w:ascii="宋体" w:hAnsi="宋体" w:cs="宋体"/>
          <w:color w:val="000000" w:themeColor="text1"/>
          <w:kern w:val="0"/>
          <w:sz w:val="24"/>
          <w:szCs w:val="24"/>
          <w:highlight w:val="none"/>
        </w:rPr>
        <w:t>10205</w:t>
      </w:r>
    </w:p>
    <w:p w14:paraId="4FC9752D">
      <w:pPr>
        <w:keepNext w:val="0"/>
        <w:keepLines w:val="0"/>
        <w:pageBreakBefore w:val="0"/>
        <w:widowControl/>
        <w:kinsoku/>
        <w:overflowPunct/>
        <w:autoSpaceDE/>
        <w:autoSpaceDN/>
        <w:bidi w:val="0"/>
        <w:adjustRightInd/>
        <w:spacing w:line="360" w:lineRule="auto"/>
        <w:jc w:val="left"/>
        <w:textAlignment w:val="auto"/>
        <w:rPr>
          <w:rFonts w:ascii="黑体" w:hAnsi="黑体" w:eastAsia="黑体" w:cs="宋体"/>
          <w:color w:val="000000" w:themeColor="text1"/>
          <w:kern w:val="0"/>
          <w:sz w:val="27"/>
          <w:szCs w:val="27"/>
          <w:highlight w:val="none"/>
        </w:rPr>
      </w:pPr>
      <w:r>
        <w:rPr>
          <w:rFonts w:hint="eastAsia" w:ascii="宋体" w:hAnsi="宋体" w:cs="Arial"/>
          <w:b/>
          <w:bCs/>
          <w:color w:val="000000" w:themeColor="text1"/>
          <w:kern w:val="0"/>
          <w:sz w:val="24"/>
          <w:szCs w:val="24"/>
          <w:highlight w:val="none"/>
        </w:rPr>
        <w:t>七、公告期限</w:t>
      </w:r>
    </w:p>
    <w:p w14:paraId="05B3DB17">
      <w:pPr>
        <w:keepNext w:val="0"/>
        <w:keepLines w:val="0"/>
        <w:pageBreakBefore w:val="0"/>
        <w:widowControl/>
        <w:kinsoku/>
        <w:overflowPunct/>
        <w:autoSpaceDE/>
        <w:autoSpaceDN/>
        <w:bidi w:val="0"/>
        <w:adjustRightInd/>
        <w:spacing w:line="360" w:lineRule="auto"/>
        <w:ind w:firstLine="480" w:firstLineChars="200"/>
        <w:jc w:val="left"/>
        <w:textAlignment w:val="auto"/>
        <w:rPr>
          <w:rFonts w:ascii="Arial" w:hAnsi="Arial" w:cs="Arial"/>
          <w:color w:val="000000" w:themeColor="text1"/>
          <w:kern w:val="0"/>
          <w:sz w:val="24"/>
          <w:szCs w:val="24"/>
          <w:highlight w:val="none"/>
        </w:rPr>
      </w:pPr>
      <w:r>
        <w:rPr>
          <w:rFonts w:ascii="宋体" w:hAnsi="宋体" w:cs="宋体"/>
          <w:color w:val="000000" w:themeColor="text1"/>
          <w:kern w:val="0"/>
          <w:sz w:val="24"/>
          <w:szCs w:val="24"/>
          <w:highlight w:val="none"/>
        </w:rPr>
        <w:t>自本公告发布之日起1个工作日。</w:t>
      </w:r>
    </w:p>
    <w:p w14:paraId="7E4F9FDC">
      <w:pPr>
        <w:keepNext w:val="0"/>
        <w:keepLines w:val="0"/>
        <w:pageBreakBefore w:val="0"/>
        <w:widowControl/>
        <w:kinsoku/>
        <w:overflowPunct/>
        <w:autoSpaceDE/>
        <w:autoSpaceDN/>
        <w:bidi w:val="0"/>
        <w:adjustRightInd/>
        <w:spacing w:line="360" w:lineRule="auto"/>
        <w:jc w:val="left"/>
        <w:textAlignment w:val="auto"/>
        <w:rPr>
          <w:rFonts w:ascii="黑体" w:hAnsi="黑体" w:eastAsia="黑体" w:cs="宋体"/>
          <w:color w:val="000000" w:themeColor="text1"/>
          <w:kern w:val="0"/>
          <w:sz w:val="24"/>
          <w:szCs w:val="24"/>
          <w:highlight w:val="none"/>
        </w:rPr>
      </w:pPr>
      <w:r>
        <w:rPr>
          <w:rFonts w:hint="eastAsia" w:ascii="宋体" w:hAnsi="宋体" w:cs="Arial"/>
          <w:b/>
          <w:bCs/>
          <w:color w:val="000000" w:themeColor="text1"/>
          <w:kern w:val="0"/>
          <w:sz w:val="24"/>
          <w:szCs w:val="24"/>
          <w:highlight w:val="none"/>
        </w:rPr>
        <w:t>八、其他补充事宜</w:t>
      </w:r>
    </w:p>
    <w:p w14:paraId="2C86200D">
      <w:pPr>
        <w:keepNext w:val="0"/>
        <w:keepLines w:val="0"/>
        <w:pageBreakBefore w:val="0"/>
        <w:widowControl/>
        <w:kinsoku/>
        <w:wordWrap w:val="0"/>
        <w:overflowPunct/>
        <w:autoSpaceDE/>
        <w:autoSpaceDN/>
        <w:bidi w:val="0"/>
        <w:adjustRightInd/>
        <w:spacing w:line="360" w:lineRule="auto"/>
        <w:ind w:firstLine="480" w:firstLineChars="200"/>
        <w:jc w:val="left"/>
        <w:textAlignment w:val="auto"/>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1.网上查询地址：www.ccgp.gov.cn（中国政府采购网）、zfcg.gxzf.gov.cn（广西壮族自治区政府采购网）、zfcg.lzscz.liuzhou.gov.cn（广西柳州政府采购网）。</w:t>
      </w:r>
    </w:p>
    <w:p w14:paraId="39895865">
      <w:pPr>
        <w:keepNext w:val="0"/>
        <w:keepLines w:val="0"/>
        <w:pageBreakBefore w:val="0"/>
        <w:widowControl/>
        <w:kinsoku/>
        <w:wordWrap w:val="0"/>
        <w:overflowPunct/>
        <w:autoSpaceDE/>
        <w:autoSpaceDN/>
        <w:bidi w:val="0"/>
        <w:adjustRightInd/>
        <w:spacing w:line="360" w:lineRule="auto"/>
        <w:ind w:firstLine="480" w:firstLineChars="200"/>
        <w:jc w:val="left"/>
        <w:textAlignment w:val="auto"/>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2.供应商认为中标结果使自己的权益受到损害的，可以在中标结果公告期限届满之日起七个工作日内以书面形式向采购人或采购代理机构提出质疑，逾期将不再受理。</w:t>
      </w:r>
    </w:p>
    <w:p w14:paraId="71584C78">
      <w:pPr>
        <w:keepNext w:val="0"/>
        <w:keepLines w:val="0"/>
        <w:pageBreakBefore w:val="0"/>
        <w:widowControl/>
        <w:kinsoku/>
        <w:wordWrap w:val="0"/>
        <w:overflowPunct/>
        <w:autoSpaceDE/>
        <w:autoSpaceDN/>
        <w:bidi w:val="0"/>
        <w:adjustRightInd/>
        <w:spacing w:line="360" w:lineRule="auto"/>
        <w:ind w:firstLine="480" w:firstLineChars="200"/>
        <w:jc w:val="left"/>
        <w:textAlignment w:val="auto"/>
        <w:rPr>
          <w:color w:val="000000" w:themeColor="text1"/>
          <w:highlight w:val="none"/>
        </w:rPr>
      </w:pPr>
      <w:r>
        <w:rPr>
          <w:rFonts w:hint="eastAsia" w:ascii="宋体" w:hAnsi="宋体" w:cs="宋体"/>
          <w:color w:val="000000" w:themeColor="text1"/>
          <w:kern w:val="0"/>
          <w:sz w:val="24"/>
          <w:szCs w:val="24"/>
          <w:highlight w:val="none"/>
        </w:rPr>
        <w:t>3.中标供应商评审总得分：90.8</w:t>
      </w:r>
      <w:r>
        <w:rPr>
          <w:rFonts w:hint="eastAsia" w:ascii="宋体" w:hAnsi="宋体" w:cs="宋体"/>
          <w:color w:val="000000" w:themeColor="text1"/>
          <w:kern w:val="0"/>
          <w:sz w:val="24"/>
          <w:szCs w:val="24"/>
          <w:highlight w:val="none"/>
          <w:lang w:val="en-US" w:eastAsia="zh-CN"/>
        </w:rPr>
        <w:t>0</w:t>
      </w:r>
      <w:r>
        <w:rPr>
          <w:rFonts w:hint="eastAsia" w:ascii="宋体" w:hAnsi="宋体" w:cs="宋体"/>
          <w:color w:val="000000" w:themeColor="text1"/>
          <w:kern w:val="0"/>
          <w:sz w:val="24"/>
          <w:szCs w:val="24"/>
          <w:highlight w:val="none"/>
        </w:rPr>
        <w:t>。</w:t>
      </w:r>
    </w:p>
    <w:p w14:paraId="76581B5E">
      <w:pPr>
        <w:keepNext w:val="0"/>
        <w:keepLines w:val="0"/>
        <w:pageBreakBefore w:val="0"/>
        <w:widowControl/>
        <w:kinsoku/>
        <w:overflowPunct/>
        <w:autoSpaceDE/>
        <w:autoSpaceDN/>
        <w:bidi w:val="0"/>
        <w:adjustRightInd/>
        <w:spacing w:line="360" w:lineRule="auto"/>
        <w:jc w:val="left"/>
        <w:textAlignment w:val="auto"/>
        <w:rPr>
          <w:rFonts w:ascii="黑体" w:hAnsi="黑体" w:eastAsia="黑体" w:cs="宋体"/>
          <w:color w:val="000000" w:themeColor="text1"/>
          <w:kern w:val="0"/>
          <w:sz w:val="27"/>
          <w:szCs w:val="27"/>
          <w:highlight w:val="none"/>
        </w:rPr>
      </w:pPr>
      <w:r>
        <w:rPr>
          <w:rFonts w:hint="eastAsia" w:ascii="宋体" w:hAnsi="宋体" w:cs="Arial"/>
          <w:b/>
          <w:bCs/>
          <w:color w:val="000000" w:themeColor="text1"/>
          <w:kern w:val="0"/>
          <w:sz w:val="24"/>
          <w:szCs w:val="24"/>
          <w:highlight w:val="none"/>
        </w:rPr>
        <w:t>九、对本次公告内容提出询问，请按以下方式联系</w:t>
      </w:r>
    </w:p>
    <w:p w14:paraId="0076D5F5">
      <w:pPr>
        <w:keepNext w:val="0"/>
        <w:keepLines w:val="0"/>
        <w:pageBreakBefore w:val="0"/>
        <w:kinsoku/>
        <w:overflowPunct/>
        <w:autoSpaceDE/>
        <w:autoSpaceDN/>
        <w:bidi w:val="0"/>
        <w:adjustRightInd/>
        <w:snapToGrid w:val="0"/>
        <w:spacing w:line="360" w:lineRule="auto"/>
        <w:ind w:firstLine="480" w:firstLineChars="200"/>
        <w:jc w:val="left"/>
        <w:textAlignment w:val="auto"/>
        <w:rPr>
          <w:rFonts w:ascii="宋体" w:hAnsi="宋体"/>
          <w:bCs/>
          <w:color w:val="000000" w:themeColor="text1"/>
          <w:sz w:val="24"/>
          <w:szCs w:val="24"/>
          <w:highlight w:val="none"/>
        </w:rPr>
      </w:pPr>
      <w:r>
        <w:rPr>
          <w:rFonts w:hint="eastAsia" w:ascii="宋体" w:hAnsi="宋体"/>
          <w:bCs/>
          <w:color w:val="000000" w:themeColor="text1"/>
          <w:sz w:val="24"/>
          <w:szCs w:val="24"/>
          <w:highlight w:val="none"/>
        </w:rPr>
        <w:t>1.采购人信息</w:t>
      </w:r>
    </w:p>
    <w:p w14:paraId="7AA2A0B2">
      <w:pPr>
        <w:keepNext w:val="0"/>
        <w:keepLines w:val="0"/>
        <w:pageBreakBefore w:val="0"/>
        <w:kinsoku/>
        <w:overflowPunct/>
        <w:autoSpaceDE/>
        <w:autoSpaceDN/>
        <w:bidi w:val="0"/>
        <w:adjustRightInd/>
        <w:snapToGrid w:val="0"/>
        <w:spacing w:line="360" w:lineRule="auto"/>
        <w:ind w:firstLine="480" w:firstLineChars="200"/>
        <w:jc w:val="left"/>
        <w:textAlignment w:val="auto"/>
        <w:rPr>
          <w:rFonts w:ascii="宋体" w:hAnsi="宋体"/>
          <w:bCs/>
          <w:color w:val="000000" w:themeColor="text1"/>
          <w:sz w:val="24"/>
          <w:szCs w:val="24"/>
          <w:highlight w:val="none"/>
        </w:rPr>
      </w:pPr>
      <w:r>
        <w:rPr>
          <w:rFonts w:hint="eastAsia" w:ascii="宋体" w:hAnsi="宋体"/>
          <w:bCs/>
          <w:color w:val="000000" w:themeColor="text1"/>
          <w:sz w:val="24"/>
          <w:szCs w:val="24"/>
          <w:highlight w:val="none"/>
        </w:rPr>
        <w:t>名称：柳州市中医医院（柳州市壮医医院）</w:t>
      </w:r>
    </w:p>
    <w:p w14:paraId="3CC156FA">
      <w:pPr>
        <w:keepNext w:val="0"/>
        <w:keepLines w:val="0"/>
        <w:pageBreakBefore w:val="0"/>
        <w:kinsoku/>
        <w:overflowPunct/>
        <w:autoSpaceDE/>
        <w:autoSpaceDN/>
        <w:bidi w:val="0"/>
        <w:adjustRightInd/>
        <w:snapToGrid w:val="0"/>
        <w:spacing w:line="360" w:lineRule="auto"/>
        <w:ind w:firstLine="480" w:firstLineChars="200"/>
        <w:jc w:val="left"/>
        <w:textAlignment w:val="auto"/>
        <w:rPr>
          <w:rFonts w:ascii="宋体" w:hAnsi="宋体"/>
          <w:bCs/>
          <w:color w:val="000000" w:themeColor="text1"/>
          <w:sz w:val="24"/>
          <w:szCs w:val="24"/>
          <w:highlight w:val="none"/>
        </w:rPr>
      </w:pPr>
      <w:r>
        <w:rPr>
          <w:rFonts w:hint="eastAsia" w:ascii="宋体" w:hAnsi="宋体"/>
          <w:bCs/>
          <w:color w:val="000000" w:themeColor="text1"/>
          <w:sz w:val="24"/>
          <w:szCs w:val="24"/>
          <w:highlight w:val="none"/>
        </w:rPr>
        <w:t>地址：广西柳州市城中区东环大道延长线东侧红葫路6号</w:t>
      </w:r>
    </w:p>
    <w:p w14:paraId="6E2CE212">
      <w:pPr>
        <w:keepNext w:val="0"/>
        <w:keepLines w:val="0"/>
        <w:pageBreakBefore w:val="0"/>
        <w:kinsoku/>
        <w:overflowPunct/>
        <w:autoSpaceDE/>
        <w:autoSpaceDN/>
        <w:bidi w:val="0"/>
        <w:adjustRightInd/>
        <w:snapToGrid w:val="0"/>
        <w:spacing w:line="360" w:lineRule="auto"/>
        <w:ind w:firstLine="480" w:firstLineChars="200"/>
        <w:jc w:val="left"/>
        <w:textAlignment w:val="auto"/>
        <w:rPr>
          <w:rFonts w:ascii="宋体" w:hAnsi="宋体"/>
          <w:bCs/>
          <w:color w:val="000000" w:themeColor="text1"/>
          <w:sz w:val="24"/>
          <w:szCs w:val="24"/>
          <w:highlight w:val="none"/>
        </w:rPr>
      </w:pPr>
      <w:r>
        <w:rPr>
          <w:rFonts w:hint="eastAsia" w:ascii="宋体" w:hAnsi="宋体"/>
          <w:bCs/>
          <w:color w:val="000000" w:themeColor="text1"/>
          <w:sz w:val="24"/>
          <w:szCs w:val="24"/>
          <w:highlight w:val="none"/>
        </w:rPr>
        <w:t>联系方式：</w:t>
      </w:r>
      <w:r>
        <w:rPr>
          <w:rFonts w:ascii="宋体" w:hAnsi="宋体"/>
          <w:bCs/>
          <w:color w:val="000000" w:themeColor="text1"/>
          <w:sz w:val="24"/>
          <w:szCs w:val="24"/>
          <w:highlight w:val="none"/>
        </w:rPr>
        <w:t>0772-3357423</w:t>
      </w:r>
    </w:p>
    <w:p w14:paraId="06B013C4">
      <w:pPr>
        <w:keepNext w:val="0"/>
        <w:keepLines w:val="0"/>
        <w:pageBreakBefore w:val="0"/>
        <w:kinsoku/>
        <w:overflowPunct/>
        <w:autoSpaceDE/>
        <w:autoSpaceDN/>
        <w:bidi w:val="0"/>
        <w:adjustRightInd/>
        <w:snapToGrid w:val="0"/>
        <w:spacing w:line="360" w:lineRule="auto"/>
        <w:ind w:firstLine="480" w:firstLineChars="200"/>
        <w:jc w:val="left"/>
        <w:textAlignment w:val="auto"/>
        <w:rPr>
          <w:rFonts w:ascii="宋体" w:hAnsi="宋体"/>
          <w:bCs/>
          <w:color w:val="000000" w:themeColor="text1"/>
          <w:sz w:val="24"/>
          <w:szCs w:val="24"/>
          <w:highlight w:val="none"/>
        </w:rPr>
      </w:pPr>
      <w:r>
        <w:rPr>
          <w:rFonts w:hint="eastAsia" w:ascii="宋体" w:hAnsi="宋体"/>
          <w:bCs/>
          <w:color w:val="000000" w:themeColor="text1"/>
          <w:sz w:val="24"/>
          <w:szCs w:val="24"/>
          <w:highlight w:val="none"/>
        </w:rPr>
        <w:t>2.采购代理机构信息</w:t>
      </w:r>
    </w:p>
    <w:p w14:paraId="1F3BE325">
      <w:pPr>
        <w:keepNext w:val="0"/>
        <w:keepLines w:val="0"/>
        <w:pageBreakBefore w:val="0"/>
        <w:kinsoku/>
        <w:overflowPunct/>
        <w:autoSpaceDE/>
        <w:autoSpaceDN/>
        <w:bidi w:val="0"/>
        <w:adjustRightInd/>
        <w:snapToGrid w:val="0"/>
        <w:spacing w:line="360" w:lineRule="auto"/>
        <w:ind w:firstLine="480" w:firstLineChars="200"/>
        <w:jc w:val="left"/>
        <w:textAlignment w:val="auto"/>
        <w:rPr>
          <w:rFonts w:ascii="宋体" w:hAnsi="宋体"/>
          <w:bCs/>
          <w:color w:val="000000" w:themeColor="text1"/>
          <w:sz w:val="24"/>
          <w:szCs w:val="24"/>
          <w:highlight w:val="none"/>
        </w:rPr>
      </w:pPr>
      <w:r>
        <w:rPr>
          <w:rFonts w:hint="eastAsia" w:ascii="宋体" w:hAnsi="宋体"/>
          <w:bCs/>
          <w:color w:val="000000" w:themeColor="text1"/>
          <w:sz w:val="24"/>
          <w:szCs w:val="24"/>
          <w:highlight w:val="none"/>
        </w:rPr>
        <w:t>名称：广西大德项目管理有限公司</w:t>
      </w:r>
    </w:p>
    <w:p w14:paraId="4604CF72">
      <w:pPr>
        <w:keepNext w:val="0"/>
        <w:keepLines w:val="0"/>
        <w:pageBreakBefore w:val="0"/>
        <w:kinsoku/>
        <w:overflowPunct/>
        <w:autoSpaceDE/>
        <w:autoSpaceDN/>
        <w:bidi w:val="0"/>
        <w:adjustRightInd/>
        <w:snapToGrid w:val="0"/>
        <w:spacing w:line="360" w:lineRule="auto"/>
        <w:ind w:firstLine="480" w:firstLineChars="200"/>
        <w:jc w:val="left"/>
        <w:textAlignment w:val="auto"/>
        <w:rPr>
          <w:rFonts w:ascii="宋体" w:hAnsi="宋体"/>
          <w:bCs/>
          <w:color w:val="000000" w:themeColor="text1"/>
          <w:sz w:val="24"/>
          <w:szCs w:val="24"/>
          <w:highlight w:val="none"/>
        </w:rPr>
      </w:pPr>
      <w:r>
        <w:rPr>
          <w:rFonts w:hint="eastAsia" w:ascii="宋体" w:hAnsi="宋体"/>
          <w:bCs/>
          <w:color w:val="000000" w:themeColor="text1"/>
          <w:sz w:val="24"/>
          <w:szCs w:val="24"/>
          <w:highlight w:val="none"/>
        </w:rPr>
        <w:t>地址：柳州市潭中东路17号华信国际B座910</w:t>
      </w:r>
    </w:p>
    <w:p w14:paraId="2CCF953B">
      <w:pPr>
        <w:keepNext w:val="0"/>
        <w:keepLines w:val="0"/>
        <w:pageBreakBefore w:val="0"/>
        <w:kinsoku/>
        <w:overflowPunct/>
        <w:autoSpaceDE/>
        <w:autoSpaceDN/>
        <w:bidi w:val="0"/>
        <w:adjustRightInd/>
        <w:snapToGrid w:val="0"/>
        <w:spacing w:line="360" w:lineRule="auto"/>
        <w:ind w:firstLine="480" w:firstLineChars="200"/>
        <w:jc w:val="left"/>
        <w:textAlignment w:val="auto"/>
        <w:rPr>
          <w:rFonts w:ascii="宋体" w:hAnsi="宋体"/>
          <w:bCs/>
          <w:color w:val="000000" w:themeColor="text1"/>
          <w:sz w:val="24"/>
          <w:szCs w:val="24"/>
          <w:highlight w:val="none"/>
        </w:rPr>
      </w:pPr>
      <w:r>
        <w:rPr>
          <w:rFonts w:hint="eastAsia" w:ascii="宋体" w:hAnsi="宋体"/>
          <w:bCs/>
          <w:color w:val="000000" w:themeColor="text1"/>
          <w:sz w:val="24"/>
          <w:szCs w:val="24"/>
          <w:highlight w:val="none"/>
        </w:rPr>
        <w:t>联系方式：0772-2120191</w:t>
      </w:r>
    </w:p>
    <w:p w14:paraId="53BFECCF">
      <w:pPr>
        <w:keepNext w:val="0"/>
        <w:keepLines w:val="0"/>
        <w:pageBreakBefore w:val="0"/>
        <w:kinsoku/>
        <w:overflowPunct/>
        <w:autoSpaceDE/>
        <w:autoSpaceDN/>
        <w:bidi w:val="0"/>
        <w:adjustRightInd/>
        <w:snapToGrid w:val="0"/>
        <w:spacing w:line="360" w:lineRule="auto"/>
        <w:ind w:firstLine="480" w:firstLineChars="200"/>
        <w:jc w:val="left"/>
        <w:textAlignment w:val="auto"/>
        <w:rPr>
          <w:rFonts w:ascii="宋体" w:hAnsi="宋体"/>
          <w:bCs/>
          <w:color w:val="000000" w:themeColor="text1"/>
          <w:sz w:val="24"/>
          <w:szCs w:val="24"/>
          <w:highlight w:val="none"/>
        </w:rPr>
      </w:pPr>
      <w:r>
        <w:rPr>
          <w:rFonts w:hint="eastAsia" w:ascii="宋体" w:hAnsi="宋体"/>
          <w:bCs/>
          <w:color w:val="000000" w:themeColor="text1"/>
          <w:sz w:val="24"/>
          <w:szCs w:val="24"/>
          <w:highlight w:val="none"/>
        </w:rPr>
        <w:t>3.项目联系方式</w:t>
      </w:r>
    </w:p>
    <w:p w14:paraId="32EDE348">
      <w:pPr>
        <w:keepNext w:val="0"/>
        <w:keepLines w:val="0"/>
        <w:pageBreakBefore w:val="0"/>
        <w:kinsoku/>
        <w:overflowPunct/>
        <w:autoSpaceDE/>
        <w:autoSpaceDN/>
        <w:bidi w:val="0"/>
        <w:adjustRightInd/>
        <w:snapToGrid w:val="0"/>
        <w:spacing w:line="360" w:lineRule="auto"/>
        <w:ind w:firstLine="480" w:firstLineChars="200"/>
        <w:jc w:val="left"/>
        <w:textAlignment w:val="auto"/>
        <w:rPr>
          <w:rFonts w:ascii="宋体" w:hAnsi="宋体"/>
          <w:bCs/>
          <w:color w:val="000000" w:themeColor="text1"/>
          <w:sz w:val="24"/>
          <w:szCs w:val="24"/>
          <w:highlight w:val="none"/>
        </w:rPr>
      </w:pPr>
      <w:r>
        <w:rPr>
          <w:rFonts w:hint="eastAsia" w:ascii="宋体" w:hAnsi="宋体"/>
          <w:bCs/>
          <w:color w:val="000000" w:themeColor="text1"/>
          <w:sz w:val="24"/>
          <w:szCs w:val="24"/>
          <w:highlight w:val="none"/>
        </w:rPr>
        <w:t>项目联系人：曾珺、韦华艳、梁斌雄、邱光旭</w:t>
      </w:r>
    </w:p>
    <w:p w14:paraId="0938C120">
      <w:pPr>
        <w:keepNext w:val="0"/>
        <w:keepLines w:val="0"/>
        <w:pageBreakBefore w:val="0"/>
        <w:kinsoku/>
        <w:overflowPunct/>
        <w:autoSpaceDE/>
        <w:autoSpaceDN/>
        <w:bidi w:val="0"/>
        <w:adjustRightInd/>
        <w:snapToGrid w:val="0"/>
        <w:spacing w:line="360" w:lineRule="auto"/>
        <w:ind w:firstLine="480" w:firstLineChars="200"/>
        <w:jc w:val="left"/>
        <w:textAlignment w:val="auto"/>
        <w:rPr>
          <w:rFonts w:hint="eastAsia" w:ascii="宋体" w:hAnsi="宋体"/>
          <w:bCs/>
          <w:color w:val="000000" w:themeColor="text1"/>
          <w:sz w:val="24"/>
          <w:szCs w:val="24"/>
          <w:highlight w:val="none"/>
        </w:rPr>
      </w:pPr>
      <w:r>
        <w:rPr>
          <w:rFonts w:hint="eastAsia" w:ascii="宋体" w:hAnsi="宋体"/>
          <w:bCs/>
          <w:color w:val="000000" w:themeColor="text1"/>
          <w:sz w:val="24"/>
          <w:szCs w:val="24"/>
          <w:highlight w:val="none"/>
        </w:rPr>
        <w:t>电 话：0772-2120191</w:t>
      </w:r>
    </w:p>
    <w:p w14:paraId="3F30F916">
      <w:pPr>
        <w:keepNext w:val="0"/>
        <w:keepLines w:val="0"/>
        <w:pageBreakBefore w:val="0"/>
        <w:widowControl/>
        <w:numPr>
          <w:ilvl w:val="0"/>
          <w:numId w:val="0"/>
        </w:numPr>
        <w:kinsoku/>
        <w:overflowPunct/>
        <w:autoSpaceDE/>
        <w:autoSpaceDN/>
        <w:bidi w:val="0"/>
        <w:adjustRightInd/>
        <w:spacing w:line="360" w:lineRule="auto"/>
        <w:jc w:val="left"/>
        <w:textAlignment w:val="auto"/>
        <w:rPr>
          <w:rFonts w:hint="eastAsia" w:ascii="宋体" w:hAnsi="宋体" w:cs="Arial"/>
          <w:b/>
          <w:bCs/>
          <w:color w:val="000000" w:themeColor="text1"/>
          <w:kern w:val="0"/>
          <w:sz w:val="24"/>
          <w:szCs w:val="24"/>
          <w:highlight w:val="none"/>
          <w:lang w:val="en-US" w:eastAsia="zh-CN"/>
        </w:rPr>
      </w:pPr>
      <w:r>
        <w:rPr>
          <w:rFonts w:hint="eastAsia" w:ascii="宋体" w:hAnsi="宋体" w:eastAsia="宋体" w:cs="Arial"/>
          <w:b/>
          <w:bCs/>
          <w:color w:val="000000" w:themeColor="text1"/>
          <w:kern w:val="0"/>
          <w:sz w:val="24"/>
          <w:szCs w:val="24"/>
          <w:lang w:val="en-US" w:eastAsia="zh-CN" w:bidi="ar-SA"/>
        </w:rPr>
        <w:t>十、</w:t>
      </w:r>
      <w:r>
        <w:rPr>
          <w:rFonts w:hint="eastAsia" w:ascii="宋体" w:hAnsi="宋体" w:cs="Arial"/>
          <w:b/>
          <w:bCs/>
          <w:color w:val="000000" w:themeColor="text1"/>
          <w:kern w:val="0"/>
          <w:sz w:val="24"/>
          <w:szCs w:val="24"/>
          <w:highlight w:val="none"/>
          <w:lang w:val="en-US" w:eastAsia="zh-CN"/>
        </w:rPr>
        <w:t>附件</w:t>
      </w:r>
    </w:p>
    <w:p w14:paraId="2C360287">
      <w:pPr>
        <w:keepNext w:val="0"/>
        <w:keepLines w:val="0"/>
        <w:pageBreakBefore w:val="0"/>
        <w:kinsoku/>
        <w:overflowPunct/>
        <w:autoSpaceDE/>
        <w:autoSpaceDN/>
        <w:bidi w:val="0"/>
        <w:adjustRightInd/>
        <w:snapToGrid w:val="0"/>
        <w:spacing w:line="360" w:lineRule="auto"/>
        <w:ind w:firstLine="480" w:firstLineChars="200"/>
        <w:jc w:val="left"/>
        <w:textAlignment w:val="auto"/>
        <w:rPr>
          <w:rFonts w:hint="eastAsia" w:ascii="宋体" w:hAnsi="宋体"/>
          <w:bCs/>
          <w:color w:val="000000" w:themeColor="text1"/>
          <w:sz w:val="24"/>
          <w:szCs w:val="24"/>
          <w:highlight w:val="none"/>
          <w:lang w:val="en-US" w:eastAsia="zh-CN"/>
        </w:rPr>
      </w:pPr>
      <w:r>
        <w:rPr>
          <w:rFonts w:hint="eastAsia" w:ascii="宋体" w:hAnsi="宋体"/>
          <w:bCs/>
          <w:color w:val="000000" w:themeColor="text1"/>
          <w:sz w:val="24"/>
          <w:szCs w:val="24"/>
          <w:highlight w:val="none"/>
          <w:lang w:val="en-US" w:eastAsia="zh-CN"/>
        </w:rPr>
        <w:t>1.采购文件</w:t>
      </w:r>
    </w:p>
    <w:p w14:paraId="070D707D">
      <w:pPr>
        <w:keepNext w:val="0"/>
        <w:keepLines w:val="0"/>
        <w:pageBreakBefore w:val="0"/>
        <w:kinsoku/>
        <w:overflowPunct/>
        <w:autoSpaceDE/>
        <w:autoSpaceDN/>
        <w:bidi w:val="0"/>
        <w:adjustRightInd/>
        <w:snapToGrid w:val="0"/>
        <w:spacing w:line="360" w:lineRule="auto"/>
        <w:ind w:firstLine="480" w:firstLineChars="200"/>
        <w:jc w:val="left"/>
        <w:textAlignment w:val="auto"/>
        <w:rPr>
          <w:rFonts w:hint="default" w:ascii="宋体" w:hAnsi="宋体"/>
          <w:bCs/>
          <w:color w:val="000000" w:themeColor="text1"/>
          <w:sz w:val="24"/>
          <w:szCs w:val="24"/>
          <w:highlight w:val="none"/>
          <w:lang w:val="en-US" w:eastAsia="zh-CN"/>
        </w:rPr>
      </w:pPr>
      <w:r>
        <w:rPr>
          <w:rFonts w:hint="eastAsia" w:ascii="宋体" w:hAnsi="宋体"/>
          <w:bCs/>
          <w:color w:val="000000" w:themeColor="text1"/>
          <w:sz w:val="24"/>
          <w:szCs w:val="24"/>
          <w:highlight w:val="none"/>
          <w:lang w:val="en-US" w:eastAsia="zh-CN"/>
        </w:rPr>
        <w:t>2.</w:t>
      </w:r>
      <w:r>
        <w:rPr>
          <w:rFonts w:ascii="宋体" w:hAnsi="宋体" w:cs="宋体"/>
          <w:color w:val="000000" w:themeColor="text1"/>
          <w:kern w:val="0"/>
          <w:sz w:val="24"/>
          <w:szCs w:val="24"/>
          <w:highlight w:val="none"/>
        </w:rPr>
        <w:t>货物类主要标的信息</w:t>
      </w:r>
      <w:bookmarkStart w:id="2" w:name="_GoBack"/>
      <w:bookmarkEnd w:id="2"/>
    </w:p>
    <w:p w14:paraId="5DA16B1A">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eastAsia="宋体"/>
          <w:lang w:val="en-US" w:eastAsia="zh-CN"/>
        </w:rPr>
      </w:pPr>
    </w:p>
    <w:p w14:paraId="4B7C8BA9">
      <w:pPr>
        <w:snapToGrid w:val="0"/>
        <w:spacing w:line="360" w:lineRule="auto"/>
        <w:ind w:firstLine="480" w:firstLineChars="200"/>
        <w:jc w:val="left"/>
        <w:rPr>
          <w:rFonts w:ascii="宋体"/>
          <w:color w:val="000000" w:themeColor="text1"/>
          <w:sz w:val="24"/>
          <w:szCs w:val="24"/>
          <w:highlight w:val="none"/>
        </w:rPr>
      </w:pPr>
    </w:p>
    <w:p w14:paraId="6BF63ED9">
      <w:pPr>
        <w:jc w:val="right"/>
        <w:rPr>
          <w:rFonts w:ascii="宋体" w:hAnsi="宋体"/>
          <w:color w:val="000000" w:themeColor="text1"/>
          <w:sz w:val="24"/>
          <w:szCs w:val="24"/>
          <w:highlight w:val="none"/>
        </w:rPr>
      </w:pPr>
      <w:r>
        <w:rPr>
          <w:rFonts w:hint="eastAsia" w:ascii="宋体" w:hAnsi="宋体"/>
          <w:color w:val="000000" w:themeColor="text1"/>
          <w:sz w:val="24"/>
          <w:szCs w:val="24"/>
          <w:highlight w:val="none"/>
        </w:rPr>
        <w:t>广西大德项目管理有限公司</w:t>
      </w:r>
    </w:p>
    <w:p w14:paraId="7E05547B">
      <w:pPr>
        <w:jc w:val="right"/>
        <w:rPr>
          <w:rFonts w:hint="default" w:ascii="宋体" w:hAnsi="宋体" w:eastAsia="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2025年04月03日</w:t>
      </w:r>
    </w:p>
    <w:sectPr>
      <w:footerReference r:id="rId3" w:type="default"/>
      <w:pgSz w:w="11906" w:h="16838"/>
      <w:pgMar w:top="1440" w:right="1021"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28958"/>
    </w:sdtPr>
    <w:sdtContent>
      <w:p w14:paraId="18776605">
        <w:pPr>
          <w:pStyle w:val="7"/>
          <w:jc w:val="center"/>
        </w:pPr>
        <w:r>
          <w:fldChar w:fldCharType="begin"/>
        </w:r>
        <w:r>
          <w:instrText xml:space="preserve"> PAGE   \* MERGEFORMAT </w:instrText>
        </w:r>
        <w:r>
          <w:fldChar w:fldCharType="separate"/>
        </w:r>
        <w:r>
          <w:rPr>
            <w:lang w:val="zh-CN"/>
          </w:rPr>
          <w:t>1</w:t>
        </w:r>
        <w:r>
          <w:rPr>
            <w:lang w:val="zh-CN"/>
          </w:rPr>
          <w:fldChar w:fldCharType="end"/>
        </w:r>
      </w:p>
    </w:sdtContent>
  </w:sdt>
  <w:p w14:paraId="638198AA">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M4ZWJiODgyYzFmMDkwMmI4OGVmNzU1M2FjZjQ0YzAifQ=="/>
  </w:docVars>
  <w:rsids>
    <w:rsidRoot w:val="00342BB7"/>
    <w:rsid w:val="000016DD"/>
    <w:rsid w:val="00004378"/>
    <w:rsid w:val="00006124"/>
    <w:rsid w:val="00006960"/>
    <w:rsid w:val="00006D94"/>
    <w:rsid w:val="0001471A"/>
    <w:rsid w:val="0001591D"/>
    <w:rsid w:val="00030A1A"/>
    <w:rsid w:val="00032243"/>
    <w:rsid w:val="00037585"/>
    <w:rsid w:val="00045835"/>
    <w:rsid w:val="000474E0"/>
    <w:rsid w:val="0005028E"/>
    <w:rsid w:val="00066526"/>
    <w:rsid w:val="00083096"/>
    <w:rsid w:val="000848B2"/>
    <w:rsid w:val="0009056E"/>
    <w:rsid w:val="000A112E"/>
    <w:rsid w:val="000A15BB"/>
    <w:rsid w:val="000B7D55"/>
    <w:rsid w:val="000C178D"/>
    <w:rsid w:val="000C2C6B"/>
    <w:rsid w:val="000C6A3D"/>
    <w:rsid w:val="000D15CA"/>
    <w:rsid w:val="000E4FB3"/>
    <w:rsid w:val="000E58A9"/>
    <w:rsid w:val="000F1684"/>
    <w:rsid w:val="001016B7"/>
    <w:rsid w:val="0010189D"/>
    <w:rsid w:val="00105D05"/>
    <w:rsid w:val="001068AF"/>
    <w:rsid w:val="00117A85"/>
    <w:rsid w:val="00117FD0"/>
    <w:rsid w:val="001218E2"/>
    <w:rsid w:val="001242F1"/>
    <w:rsid w:val="00126CEA"/>
    <w:rsid w:val="0012746C"/>
    <w:rsid w:val="0014121E"/>
    <w:rsid w:val="00142300"/>
    <w:rsid w:val="00143331"/>
    <w:rsid w:val="001520D4"/>
    <w:rsid w:val="00167011"/>
    <w:rsid w:val="001767CA"/>
    <w:rsid w:val="001778B4"/>
    <w:rsid w:val="001850EE"/>
    <w:rsid w:val="00186CA7"/>
    <w:rsid w:val="00193AB7"/>
    <w:rsid w:val="00194795"/>
    <w:rsid w:val="001A35B2"/>
    <w:rsid w:val="001B1263"/>
    <w:rsid w:val="001D0EE5"/>
    <w:rsid w:val="001D2024"/>
    <w:rsid w:val="001E037A"/>
    <w:rsid w:val="001E0608"/>
    <w:rsid w:val="001E701C"/>
    <w:rsid w:val="001E7484"/>
    <w:rsid w:val="001F35D1"/>
    <w:rsid w:val="00212167"/>
    <w:rsid w:val="00213D03"/>
    <w:rsid w:val="00215A8A"/>
    <w:rsid w:val="0022210B"/>
    <w:rsid w:val="00235330"/>
    <w:rsid w:val="00240CAA"/>
    <w:rsid w:val="00242338"/>
    <w:rsid w:val="002438A6"/>
    <w:rsid w:val="00245C1F"/>
    <w:rsid w:val="00250E65"/>
    <w:rsid w:val="00253F22"/>
    <w:rsid w:val="00254E62"/>
    <w:rsid w:val="00256E46"/>
    <w:rsid w:val="00257776"/>
    <w:rsid w:val="0026024C"/>
    <w:rsid w:val="00261DDB"/>
    <w:rsid w:val="0027451B"/>
    <w:rsid w:val="00275821"/>
    <w:rsid w:val="002819A3"/>
    <w:rsid w:val="0029537B"/>
    <w:rsid w:val="002A49B1"/>
    <w:rsid w:val="002B3119"/>
    <w:rsid w:val="002B31DE"/>
    <w:rsid w:val="002B5088"/>
    <w:rsid w:val="002C4DD1"/>
    <w:rsid w:val="002E1F42"/>
    <w:rsid w:val="002F1A15"/>
    <w:rsid w:val="002F6B81"/>
    <w:rsid w:val="00303A1F"/>
    <w:rsid w:val="00304B59"/>
    <w:rsid w:val="00315BEB"/>
    <w:rsid w:val="00315EFA"/>
    <w:rsid w:val="00326D8E"/>
    <w:rsid w:val="00340358"/>
    <w:rsid w:val="00342BB7"/>
    <w:rsid w:val="00344E3E"/>
    <w:rsid w:val="00366B1E"/>
    <w:rsid w:val="00377339"/>
    <w:rsid w:val="00384A9A"/>
    <w:rsid w:val="00384DF1"/>
    <w:rsid w:val="00384F12"/>
    <w:rsid w:val="00387949"/>
    <w:rsid w:val="003934CC"/>
    <w:rsid w:val="003B34CA"/>
    <w:rsid w:val="003C6E42"/>
    <w:rsid w:val="003D1B4D"/>
    <w:rsid w:val="003D428A"/>
    <w:rsid w:val="003D43EF"/>
    <w:rsid w:val="003D567E"/>
    <w:rsid w:val="003D781F"/>
    <w:rsid w:val="003D7D32"/>
    <w:rsid w:val="003E57AA"/>
    <w:rsid w:val="003E78DA"/>
    <w:rsid w:val="003E7D44"/>
    <w:rsid w:val="003F6F01"/>
    <w:rsid w:val="004118E9"/>
    <w:rsid w:val="0041464B"/>
    <w:rsid w:val="00414E53"/>
    <w:rsid w:val="00420A15"/>
    <w:rsid w:val="0042124B"/>
    <w:rsid w:val="0042586F"/>
    <w:rsid w:val="0043198A"/>
    <w:rsid w:val="00442C5C"/>
    <w:rsid w:val="00453BB5"/>
    <w:rsid w:val="00467E09"/>
    <w:rsid w:val="00474549"/>
    <w:rsid w:val="00474971"/>
    <w:rsid w:val="0048508B"/>
    <w:rsid w:val="0048641A"/>
    <w:rsid w:val="00486B1D"/>
    <w:rsid w:val="00491110"/>
    <w:rsid w:val="004A7F57"/>
    <w:rsid w:val="004B54E9"/>
    <w:rsid w:val="004C1F77"/>
    <w:rsid w:val="004C2A76"/>
    <w:rsid w:val="004C5029"/>
    <w:rsid w:val="004D0B74"/>
    <w:rsid w:val="004D3016"/>
    <w:rsid w:val="004D37A1"/>
    <w:rsid w:val="004D4CE2"/>
    <w:rsid w:val="004D6900"/>
    <w:rsid w:val="004F397A"/>
    <w:rsid w:val="00502643"/>
    <w:rsid w:val="005133EA"/>
    <w:rsid w:val="00517207"/>
    <w:rsid w:val="0053004D"/>
    <w:rsid w:val="005331E5"/>
    <w:rsid w:val="005331FD"/>
    <w:rsid w:val="00541D7A"/>
    <w:rsid w:val="00556AE7"/>
    <w:rsid w:val="00574EB7"/>
    <w:rsid w:val="0058070E"/>
    <w:rsid w:val="00581A1E"/>
    <w:rsid w:val="00582250"/>
    <w:rsid w:val="0058421D"/>
    <w:rsid w:val="00587E56"/>
    <w:rsid w:val="00590330"/>
    <w:rsid w:val="005A0547"/>
    <w:rsid w:val="005A7EC4"/>
    <w:rsid w:val="005C16E9"/>
    <w:rsid w:val="005C70CE"/>
    <w:rsid w:val="005C790D"/>
    <w:rsid w:val="005D0674"/>
    <w:rsid w:val="005D1622"/>
    <w:rsid w:val="005D5F0B"/>
    <w:rsid w:val="005E0DC6"/>
    <w:rsid w:val="005E120B"/>
    <w:rsid w:val="005F0AFC"/>
    <w:rsid w:val="005F4C50"/>
    <w:rsid w:val="0060745B"/>
    <w:rsid w:val="00614851"/>
    <w:rsid w:val="00615995"/>
    <w:rsid w:val="006210A5"/>
    <w:rsid w:val="00621DA3"/>
    <w:rsid w:val="00627307"/>
    <w:rsid w:val="0062751B"/>
    <w:rsid w:val="006325E2"/>
    <w:rsid w:val="006329C6"/>
    <w:rsid w:val="0063524A"/>
    <w:rsid w:val="0063596F"/>
    <w:rsid w:val="00637698"/>
    <w:rsid w:val="00645D91"/>
    <w:rsid w:val="006477C6"/>
    <w:rsid w:val="006526C3"/>
    <w:rsid w:val="0065677B"/>
    <w:rsid w:val="00667420"/>
    <w:rsid w:val="00674AFC"/>
    <w:rsid w:val="00680041"/>
    <w:rsid w:val="0068706B"/>
    <w:rsid w:val="00691EEE"/>
    <w:rsid w:val="00696589"/>
    <w:rsid w:val="006A3C21"/>
    <w:rsid w:val="006A45B5"/>
    <w:rsid w:val="006A723C"/>
    <w:rsid w:val="006B115C"/>
    <w:rsid w:val="006B6A4A"/>
    <w:rsid w:val="006C0619"/>
    <w:rsid w:val="006D7C92"/>
    <w:rsid w:val="006E04B5"/>
    <w:rsid w:val="006F1088"/>
    <w:rsid w:val="00700DE7"/>
    <w:rsid w:val="00712AB2"/>
    <w:rsid w:val="00715D03"/>
    <w:rsid w:val="0071795F"/>
    <w:rsid w:val="00720989"/>
    <w:rsid w:val="00747B9A"/>
    <w:rsid w:val="0075134F"/>
    <w:rsid w:val="007523CD"/>
    <w:rsid w:val="00764B0E"/>
    <w:rsid w:val="00773122"/>
    <w:rsid w:val="007762D2"/>
    <w:rsid w:val="00786353"/>
    <w:rsid w:val="007867DC"/>
    <w:rsid w:val="0079021D"/>
    <w:rsid w:val="007A7A6D"/>
    <w:rsid w:val="007C0627"/>
    <w:rsid w:val="007D3182"/>
    <w:rsid w:val="007D7198"/>
    <w:rsid w:val="007F3448"/>
    <w:rsid w:val="007F7111"/>
    <w:rsid w:val="00807803"/>
    <w:rsid w:val="00822883"/>
    <w:rsid w:val="008268D1"/>
    <w:rsid w:val="00832F8E"/>
    <w:rsid w:val="0083667F"/>
    <w:rsid w:val="008369A1"/>
    <w:rsid w:val="00844703"/>
    <w:rsid w:val="0085686A"/>
    <w:rsid w:val="00881A3F"/>
    <w:rsid w:val="00882473"/>
    <w:rsid w:val="00883503"/>
    <w:rsid w:val="00884F31"/>
    <w:rsid w:val="0088620F"/>
    <w:rsid w:val="00892CBB"/>
    <w:rsid w:val="0089479D"/>
    <w:rsid w:val="00894B86"/>
    <w:rsid w:val="008A0AF3"/>
    <w:rsid w:val="008A1BA2"/>
    <w:rsid w:val="008A56D3"/>
    <w:rsid w:val="008C0985"/>
    <w:rsid w:val="008C2DE5"/>
    <w:rsid w:val="008D5E30"/>
    <w:rsid w:val="008E29E9"/>
    <w:rsid w:val="00904B12"/>
    <w:rsid w:val="00910C27"/>
    <w:rsid w:val="00911898"/>
    <w:rsid w:val="00914605"/>
    <w:rsid w:val="00915B31"/>
    <w:rsid w:val="00915C90"/>
    <w:rsid w:val="009441AF"/>
    <w:rsid w:val="009466E6"/>
    <w:rsid w:val="00957211"/>
    <w:rsid w:val="009574D9"/>
    <w:rsid w:val="00961076"/>
    <w:rsid w:val="00974363"/>
    <w:rsid w:val="00975921"/>
    <w:rsid w:val="00976666"/>
    <w:rsid w:val="00980784"/>
    <w:rsid w:val="00980CFD"/>
    <w:rsid w:val="00994A33"/>
    <w:rsid w:val="009B1EAC"/>
    <w:rsid w:val="009B1F37"/>
    <w:rsid w:val="009B2F3A"/>
    <w:rsid w:val="009C72A3"/>
    <w:rsid w:val="009D1D24"/>
    <w:rsid w:val="009D2488"/>
    <w:rsid w:val="009E16C2"/>
    <w:rsid w:val="009E452A"/>
    <w:rsid w:val="009E5011"/>
    <w:rsid w:val="009F6D02"/>
    <w:rsid w:val="00A0238D"/>
    <w:rsid w:val="00A0691A"/>
    <w:rsid w:val="00A13AE6"/>
    <w:rsid w:val="00A162F9"/>
    <w:rsid w:val="00A2442C"/>
    <w:rsid w:val="00A24A29"/>
    <w:rsid w:val="00A26048"/>
    <w:rsid w:val="00A26408"/>
    <w:rsid w:val="00A327AD"/>
    <w:rsid w:val="00A333EE"/>
    <w:rsid w:val="00A41833"/>
    <w:rsid w:val="00A50441"/>
    <w:rsid w:val="00A56992"/>
    <w:rsid w:val="00A628FC"/>
    <w:rsid w:val="00A6723E"/>
    <w:rsid w:val="00A72B87"/>
    <w:rsid w:val="00A72C16"/>
    <w:rsid w:val="00A73FDC"/>
    <w:rsid w:val="00A87775"/>
    <w:rsid w:val="00A87AF3"/>
    <w:rsid w:val="00A91830"/>
    <w:rsid w:val="00AA231B"/>
    <w:rsid w:val="00AA6C20"/>
    <w:rsid w:val="00AA6FEA"/>
    <w:rsid w:val="00AB4846"/>
    <w:rsid w:val="00AB6741"/>
    <w:rsid w:val="00AD18E0"/>
    <w:rsid w:val="00AD5E23"/>
    <w:rsid w:val="00AD6EBE"/>
    <w:rsid w:val="00AE6CAE"/>
    <w:rsid w:val="00AF2C3C"/>
    <w:rsid w:val="00AF798D"/>
    <w:rsid w:val="00B038F0"/>
    <w:rsid w:val="00B063AD"/>
    <w:rsid w:val="00B20DB3"/>
    <w:rsid w:val="00B22A82"/>
    <w:rsid w:val="00B30499"/>
    <w:rsid w:val="00B329CC"/>
    <w:rsid w:val="00B54D83"/>
    <w:rsid w:val="00B57D61"/>
    <w:rsid w:val="00B61A67"/>
    <w:rsid w:val="00B754DC"/>
    <w:rsid w:val="00B80AB1"/>
    <w:rsid w:val="00B91EEC"/>
    <w:rsid w:val="00B94BD3"/>
    <w:rsid w:val="00BA2B90"/>
    <w:rsid w:val="00BC2894"/>
    <w:rsid w:val="00BE0EC0"/>
    <w:rsid w:val="00BE6199"/>
    <w:rsid w:val="00BF2DEF"/>
    <w:rsid w:val="00BF7399"/>
    <w:rsid w:val="00C03CFE"/>
    <w:rsid w:val="00C13E7E"/>
    <w:rsid w:val="00C21C09"/>
    <w:rsid w:val="00C24797"/>
    <w:rsid w:val="00C33065"/>
    <w:rsid w:val="00C37169"/>
    <w:rsid w:val="00C5326B"/>
    <w:rsid w:val="00C61A7F"/>
    <w:rsid w:val="00C6633C"/>
    <w:rsid w:val="00C66B12"/>
    <w:rsid w:val="00C764AD"/>
    <w:rsid w:val="00C86513"/>
    <w:rsid w:val="00C87662"/>
    <w:rsid w:val="00C90D66"/>
    <w:rsid w:val="00C91FF4"/>
    <w:rsid w:val="00C948EC"/>
    <w:rsid w:val="00C94F1E"/>
    <w:rsid w:val="00C95FE1"/>
    <w:rsid w:val="00CA6A91"/>
    <w:rsid w:val="00CA7BC7"/>
    <w:rsid w:val="00CC521A"/>
    <w:rsid w:val="00CC7C4E"/>
    <w:rsid w:val="00CD5B04"/>
    <w:rsid w:val="00CF1B36"/>
    <w:rsid w:val="00CF251A"/>
    <w:rsid w:val="00D03A38"/>
    <w:rsid w:val="00D22383"/>
    <w:rsid w:val="00D26966"/>
    <w:rsid w:val="00D36104"/>
    <w:rsid w:val="00D36F48"/>
    <w:rsid w:val="00D47FAC"/>
    <w:rsid w:val="00D60FC7"/>
    <w:rsid w:val="00D675FC"/>
    <w:rsid w:val="00D71DA0"/>
    <w:rsid w:val="00D77AC6"/>
    <w:rsid w:val="00D83029"/>
    <w:rsid w:val="00D85BBD"/>
    <w:rsid w:val="00DA2506"/>
    <w:rsid w:val="00DB2517"/>
    <w:rsid w:val="00DB6F94"/>
    <w:rsid w:val="00DB7A38"/>
    <w:rsid w:val="00DB7FE6"/>
    <w:rsid w:val="00DC37D7"/>
    <w:rsid w:val="00DC44F4"/>
    <w:rsid w:val="00DC49DF"/>
    <w:rsid w:val="00DD2577"/>
    <w:rsid w:val="00DE53F9"/>
    <w:rsid w:val="00DE6BC0"/>
    <w:rsid w:val="00DF2B83"/>
    <w:rsid w:val="00DF4883"/>
    <w:rsid w:val="00E01E9D"/>
    <w:rsid w:val="00E0290A"/>
    <w:rsid w:val="00E056BD"/>
    <w:rsid w:val="00E22522"/>
    <w:rsid w:val="00E32087"/>
    <w:rsid w:val="00E34DAB"/>
    <w:rsid w:val="00E45139"/>
    <w:rsid w:val="00E61BD4"/>
    <w:rsid w:val="00E7336D"/>
    <w:rsid w:val="00E833BA"/>
    <w:rsid w:val="00E86BD2"/>
    <w:rsid w:val="00EB0967"/>
    <w:rsid w:val="00EB09E5"/>
    <w:rsid w:val="00EC617A"/>
    <w:rsid w:val="00EC6F48"/>
    <w:rsid w:val="00EC7CA6"/>
    <w:rsid w:val="00EE1A56"/>
    <w:rsid w:val="00F046E5"/>
    <w:rsid w:val="00F07FBD"/>
    <w:rsid w:val="00F116A0"/>
    <w:rsid w:val="00F224C6"/>
    <w:rsid w:val="00F311A3"/>
    <w:rsid w:val="00F414DE"/>
    <w:rsid w:val="00F434FD"/>
    <w:rsid w:val="00F51C6B"/>
    <w:rsid w:val="00F549E3"/>
    <w:rsid w:val="00F5529B"/>
    <w:rsid w:val="00F57D1F"/>
    <w:rsid w:val="00F628BA"/>
    <w:rsid w:val="00F64332"/>
    <w:rsid w:val="00F7115E"/>
    <w:rsid w:val="00F76CE0"/>
    <w:rsid w:val="00F833AF"/>
    <w:rsid w:val="00F83844"/>
    <w:rsid w:val="00FA3238"/>
    <w:rsid w:val="00FA56EE"/>
    <w:rsid w:val="00FB07A6"/>
    <w:rsid w:val="00FB1363"/>
    <w:rsid w:val="00FC65CE"/>
    <w:rsid w:val="00FD59A5"/>
    <w:rsid w:val="00FE2B22"/>
    <w:rsid w:val="00FE351A"/>
    <w:rsid w:val="00FF12BA"/>
    <w:rsid w:val="00FF43CD"/>
    <w:rsid w:val="02275C6D"/>
    <w:rsid w:val="02C44E0D"/>
    <w:rsid w:val="02E627C6"/>
    <w:rsid w:val="06F32394"/>
    <w:rsid w:val="090E2029"/>
    <w:rsid w:val="09B30D57"/>
    <w:rsid w:val="0C69736C"/>
    <w:rsid w:val="10F45415"/>
    <w:rsid w:val="113F1C77"/>
    <w:rsid w:val="19B60873"/>
    <w:rsid w:val="19F92503"/>
    <w:rsid w:val="1C646F99"/>
    <w:rsid w:val="247A0A91"/>
    <w:rsid w:val="24B64699"/>
    <w:rsid w:val="28EA477C"/>
    <w:rsid w:val="29733157"/>
    <w:rsid w:val="2C700741"/>
    <w:rsid w:val="2DDF2977"/>
    <w:rsid w:val="2E1D77F5"/>
    <w:rsid w:val="323D542A"/>
    <w:rsid w:val="33353ED3"/>
    <w:rsid w:val="35247E75"/>
    <w:rsid w:val="36105698"/>
    <w:rsid w:val="36461A3F"/>
    <w:rsid w:val="37EF4035"/>
    <w:rsid w:val="3C3B3824"/>
    <w:rsid w:val="3D604116"/>
    <w:rsid w:val="3E594D47"/>
    <w:rsid w:val="3EDE2697"/>
    <w:rsid w:val="40796D2A"/>
    <w:rsid w:val="41FF363A"/>
    <w:rsid w:val="431A759E"/>
    <w:rsid w:val="43811AB8"/>
    <w:rsid w:val="43E066A9"/>
    <w:rsid w:val="44627702"/>
    <w:rsid w:val="46EE516C"/>
    <w:rsid w:val="48B54E01"/>
    <w:rsid w:val="4B1D28B9"/>
    <w:rsid w:val="52EA30A1"/>
    <w:rsid w:val="56A24307"/>
    <w:rsid w:val="56ED514D"/>
    <w:rsid w:val="59075D70"/>
    <w:rsid w:val="599B6BBC"/>
    <w:rsid w:val="5A984201"/>
    <w:rsid w:val="5E265732"/>
    <w:rsid w:val="5E9E7538"/>
    <w:rsid w:val="5F094F7F"/>
    <w:rsid w:val="6047388D"/>
    <w:rsid w:val="63150852"/>
    <w:rsid w:val="64504D2E"/>
    <w:rsid w:val="673624D4"/>
    <w:rsid w:val="683440D5"/>
    <w:rsid w:val="6E9C2155"/>
    <w:rsid w:val="6EFE0471"/>
    <w:rsid w:val="75361B5B"/>
    <w:rsid w:val="765B5966"/>
    <w:rsid w:val="78610BD4"/>
    <w:rsid w:val="78CF2782"/>
    <w:rsid w:val="7DC22518"/>
    <w:rsid w:val="7FAF54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9"/>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line="380" w:lineRule="exact"/>
    </w:pPr>
    <w:rPr>
      <w:kern w:val="0"/>
    </w:rPr>
  </w:style>
  <w:style w:type="paragraph" w:styleId="5">
    <w:name w:val="Plain Text"/>
    <w:basedOn w:val="1"/>
    <w:link w:val="20"/>
    <w:qFormat/>
    <w:uiPriority w:val="0"/>
    <w:rPr>
      <w:rFonts w:ascii="宋体" w:hAnsi="Courier New" w:eastAsiaTheme="minorEastAsia" w:cstheme="minorBidi"/>
      <w:szCs w:val="22"/>
    </w:rPr>
  </w:style>
  <w:style w:type="paragraph" w:styleId="6">
    <w:name w:val="Balloon Text"/>
    <w:basedOn w:val="1"/>
    <w:link w:val="21"/>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annotation reference"/>
    <w:qFormat/>
    <w:uiPriority w:val="99"/>
    <w:rPr>
      <w:sz w:val="21"/>
      <w:szCs w:val="21"/>
    </w:rPr>
  </w:style>
  <w:style w:type="character" w:styleId="13">
    <w:name w:val="HTML Sample"/>
    <w:basedOn w:val="11"/>
    <w:semiHidden/>
    <w:unhideWhenUsed/>
    <w:qFormat/>
    <w:uiPriority w:val="99"/>
    <w:rPr>
      <w:rFonts w:ascii="Courier New" w:hAnsi="Courier New"/>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5">
    <w:name w:val="页眉 Char"/>
    <w:basedOn w:val="11"/>
    <w:link w:val="8"/>
    <w:qFormat/>
    <w:uiPriority w:val="99"/>
    <w:rPr>
      <w:sz w:val="18"/>
      <w:szCs w:val="18"/>
    </w:rPr>
  </w:style>
  <w:style w:type="character" w:customStyle="1" w:styleId="16">
    <w:name w:val="页脚 Char"/>
    <w:basedOn w:val="11"/>
    <w:link w:val="7"/>
    <w:qFormat/>
    <w:uiPriority w:val="99"/>
    <w:rPr>
      <w:sz w:val="18"/>
      <w:szCs w:val="18"/>
    </w:rPr>
  </w:style>
  <w:style w:type="paragraph" w:styleId="1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8">
    <w:name w:val="标题 1 Char"/>
    <w:basedOn w:val="11"/>
    <w:link w:val="3"/>
    <w:qFormat/>
    <w:uiPriority w:val="9"/>
    <w:rPr>
      <w:rFonts w:ascii="Times New Roman" w:hAnsi="Times New Roman" w:eastAsia="宋体" w:cs="Times New Roman"/>
      <w:b/>
      <w:bCs/>
      <w:kern w:val="44"/>
      <w:sz w:val="44"/>
      <w:szCs w:val="44"/>
    </w:rPr>
  </w:style>
  <w:style w:type="character" w:customStyle="1" w:styleId="19">
    <w:name w:val="标题 2 Char"/>
    <w:basedOn w:val="11"/>
    <w:link w:val="4"/>
    <w:qFormat/>
    <w:uiPriority w:val="0"/>
    <w:rPr>
      <w:rFonts w:ascii="Arial" w:hAnsi="Arial" w:eastAsia="黑体" w:cs="Arial"/>
      <w:b/>
      <w:bCs/>
      <w:sz w:val="32"/>
      <w:szCs w:val="32"/>
    </w:rPr>
  </w:style>
  <w:style w:type="character" w:customStyle="1" w:styleId="20">
    <w:name w:val="纯文本 Char"/>
    <w:basedOn w:val="11"/>
    <w:link w:val="5"/>
    <w:qFormat/>
    <w:uiPriority w:val="0"/>
    <w:rPr>
      <w:rFonts w:ascii="宋体" w:hAnsi="Courier New"/>
    </w:rPr>
  </w:style>
  <w:style w:type="character" w:customStyle="1" w:styleId="21">
    <w:name w:val="批注框文本 Char"/>
    <w:basedOn w:val="11"/>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2</Pages>
  <Words>791</Words>
  <Characters>978</Characters>
  <Lines>7</Lines>
  <Paragraphs>2</Paragraphs>
  <TotalTime>0</TotalTime>
  <ScaleCrop>false</ScaleCrop>
  <LinksUpToDate>false</LinksUpToDate>
  <CharactersWithSpaces>979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2020-07-01T12:54:00Z</dcterms:created>
  <dc:creator>Micorosoft</dc:creator>
  <cp:lastModifiedBy>五星好市民</cp:lastModifiedBy>
  <cp:lastPrinted>2025-01-15T09:24:00Z</cp:lastPrinted>
  <dcterms:modified xsi:type="dcterms:W3CDTF">2025-04-03T07:29:36Z</dcterms:modified>
  <cp:revision>245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9BF64CE374FE4680A550B9635A72CC39</vt:lpwstr>
  </property>
  <property fmtid="{D5CDD505-2E9C-101B-9397-08002B2CF9AE}" pid="4" name="KSOTemplateDocerSaveRecord">
    <vt:lpwstr>eyJoZGlkIjoiODA3ZDhmODk2NDRkYjI4ZDhlNmZkZDJiZmIzMjViOTYiLCJ1c2VySWQiOiIxNTk2NDc0MTE2In0=</vt:lpwstr>
  </property>
</Properties>
</file>