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BD13">
      <w:pPr>
        <w:pStyle w:val="2"/>
        <w:pageBreakBefore w:val="0"/>
        <w:tabs>
          <w:tab w:val="left" w:pos="0"/>
        </w:tabs>
        <w:kinsoku/>
        <w:wordWrap w:val="0"/>
        <w:overflowPunct/>
        <w:topLinePunct w:val="0"/>
        <w:autoSpaceDE w:val="0"/>
        <w:autoSpaceDN w:val="0"/>
        <w:bidi w:val="0"/>
        <w:adjustRightInd w:val="0"/>
        <w:snapToGrid/>
        <w:spacing w:before="0" w:after="0" w:line="336" w:lineRule="auto"/>
        <w:jc w:val="center"/>
        <w:textAlignment w:val="auto"/>
        <w:rPr>
          <w:rFonts w:asciiTheme="minorEastAsia" w:hAnsiTheme="minorEastAsia" w:eastAsiaTheme="minorEastAsia"/>
          <w:color w:val="000000" w:themeColor="text1"/>
          <w:sz w:val="32"/>
          <w:szCs w:val="32"/>
        </w:rPr>
      </w:pPr>
      <w:bookmarkStart w:id="0" w:name="_Toc28359022"/>
      <w:bookmarkStart w:id="1" w:name="_Toc35393809"/>
      <w:r>
        <w:rPr>
          <w:rFonts w:hint="eastAsia" w:asciiTheme="minorEastAsia" w:hAnsiTheme="minorEastAsia" w:eastAsiaTheme="minorEastAsia"/>
          <w:color w:val="000000" w:themeColor="text1"/>
          <w:sz w:val="32"/>
          <w:szCs w:val="32"/>
        </w:rPr>
        <w:t>广西大德项目管理有限公司关于碘[131I]化钠口服溶液配送服务采购（重）（LZZC2025-C3-990403-GXDD）成交结果公告</w:t>
      </w:r>
      <w:bookmarkEnd w:id="0"/>
      <w:bookmarkEnd w:id="1"/>
    </w:p>
    <w:p w14:paraId="348BA385">
      <w:pPr>
        <w:pageBreakBefore w:val="0"/>
        <w:kinsoku/>
        <w:overflowPunct/>
        <w:topLinePunct w:val="0"/>
        <w:bidi w:val="0"/>
        <w:snapToGrid/>
        <w:spacing w:line="336" w:lineRule="auto"/>
        <w:textAlignment w:val="auto"/>
        <w:rPr>
          <w:rFonts w:asciiTheme="minorEastAsia" w:hAnsiTheme="minorEastAsia" w:eastAsiaTheme="minorEastAsia"/>
          <w:color w:val="000000" w:themeColor="text1"/>
        </w:rPr>
      </w:pPr>
    </w:p>
    <w:p w14:paraId="0C82D75D">
      <w:pPr>
        <w:pageBreakBefore w:val="0"/>
        <w:widowControl/>
        <w:kinsoku/>
        <w:overflowPunct/>
        <w:topLinePunct w:val="0"/>
        <w:bidi w:val="0"/>
        <w:snapToGrid/>
        <w:spacing w:line="336" w:lineRule="auto"/>
        <w:jc w:val="left"/>
        <w:textAlignment w:val="auto"/>
        <w:rPr>
          <w:rFonts w:ascii="宋体" w:hAnsi="宋体"/>
          <w:b/>
          <w:color w:val="000000" w:themeColor="text1"/>
          <w:sz w:val="24"/>
          <w:szCs w:val="24"/>
        </w:rPr>
      </w:pPr>
      <w:bookmarkStart w:id="2" w:name="OLE_LINK1"/>
      <w:bookmarkStart w:id="3" w:name="OLE_LINK3"/>
      <w:bookmarkStart w:id="4" w:name="OLE_LINK2"/>
      <w:r>
        <w:rPr>
          <w:rFonts w:hint="eastAsia" w:ascii="宋体" w:hAnsi="宋体"/>
          <w:b/>
          <w:color w:val="000000" w:themeColor="text1"/>
          <w:sz w:val="24"/>
          <w:szCs w:val="24"/>
        </w:rPr>
        <w:t>一、项目编号：LZZC2025-C3-990403-GXDD</w:t>
      </w:r>
    </w:p>
    <w:p w14:paraId="268CC75D">
      <w:pPr>
        <w:pageBreakBefore w:val="0"/>
        <w:widowControl/>
        <w:kinsoku/>
        <w:overflowPunct/>
        <w:topLinePunct w:val="0"/>
        <w:bidi w:val="0"/>
        <w:snapToGrid/>
        <w:spacing w:line="336" w:lineRule="auto"/>
        <w:textAlignment w:val="auto"/>
        <w:rPr>
          <w:rFonts w:ascii="宋体" w:hAnsi="宋体"/>
          <w:color w:val="000000" w:themeColor="text1"/>
          <w:sz w:val="24"/>
          <w:szCs w:val="24"/>
        </w:rPr>
      </w:pPr>
      <w:r>
        <w:rPr>
          <w:rFonts w:hint="eastAsia" w:ascii="宋体" w:hAnsi="宋体"/>
          <w:b/>
          <w:color w:val="000000" w:themeColor="text1"/>
          <w:sz w:val="24"/>
          <w:szCs w:val="24"/>
        </w:rPr>
        <w:t>二、项目名称：碘[131I]化钠口服溶液配送服务采购（重）</w:t>
      </w:r>
    </w:p>
    <w:p w14:paraId="67808DF8">
      <w:pPr>
        <w:pageBreakBefore w:val="0"/>
        <w:widowControl/>
        <w:kinsoku/>
        <w:overflowPunct/>
        <w:topLinePunct w:val="0"/>
        <w:bidi w:val="0"/>
        <w:snapToGrid/>
        <w:spacing w:line="336" w:lineRule="auto"/>
        <w:textAlignment w:val="auto"/>
        <w:rPr>
          <w:rFonts w:ascii="宋体" w:hAnsi="宋体"/>
          <w:b/>
          <w:color w:val="000000" w:themeColor="text1"/>
          <w:sz w:val="24"/>
          <w:szCs w:val="24"/>
        </w:rPr>
      </w:pPr>
      <w:r>
        <w:rPr>
          <w:rFonts w:hint="eastAsia" w:ascii="宋体" w:hAnsi="宋体"/>
          <w:b/>
          <w:color w:val="000000" w:themeColor="text1"/>
          <w:sz w:val="24"/>
          <w:szCs w:val="24"/>
        </w:rPr>
        <w:t>三、中标（成交）信息</w:t>
      </w:r>
    </w:p>
    <w:p w14:paraId="77DAD413">
      <w:pPr>
        <w:pageBreakBefore w:val="0"/>
        <w:widowControl/>
        <w:kinsoku/>
        <w:overflowPunct/>
        <w:topLinePunct w:val="0"/>
        <w:bidi w:val="0"/>
        <w:snapToGrid/>
        <w:spacing w:line="336" w:lineRule="auto"/>
        <w:ind w:firstLine="480" w:firstLineChars="200"/>
        <w:jc w:val="left"/>
        <w:textAlignment w:val="auto"/>
        <w:rPr>
          <w:rFonts w:ascii="仿宋" w:hAnsi="仿宋" w:cs="宋体"/>
          <w:color w:val="000000"/>
          <w:kern w:val="0"/>
          <w:sz w:val="27"/>
          <w:szCs w:val="27"/>
        </w:rPr>
      </w:pPr>
      <w:r>
        <w:rPr>
          <w:rFonts w:ascii="宋体" w:hAnsi="宋体"/>
          <w:color w:val="000000"/>
          <w:sz w:val="24"/>
          <w:szCs w:val="24"/>
        </w:rPr>
        <w:t>1.中标结果：</w:t>
      </w:r>
    </w:p>
    <w:tbl>
      <w:tblPr>
        <w:tblStyle w:val="9"/>
        <w:tblW w:w="1006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4"/>
        <w:gridCol w:w="2700"/>
        <w:gridCol w:w="2835"/>
        <w:gridCol w:w="3686"/>
      </w:tblGrid>
      <w:tr w14:paraId="3C65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844" w:type="dxa"/>
            <w:shd w:val="clear" w:color="auto" w:fill="FFFFFF"/>
            <w:tcMar>
              <w:top w:w="75" w:type="dxa"/>
              <w:left w:w="150" w:type="dxa"/>
              <w:bottom w:w="75" w:type="dxa"/>
              <w:right w:w="150" w:type="dxa"/>
            </w:tcMar>
            <w:vAlign w:val="center"/>
          </w:tcPr>
          <w:p w14:paraId="44039857">
            <w:pPr>
              <w:pageBreakBefore w:val="0"/>
              <w:widowControl/>
              <w:kinsoku/>
              <w:wordWrap w:val="0"/>
              <w:overflowPunct/>
              <w:topLinePunct w:val="0"/>
              <w:bidi w:val="0"/>
              <w:snapToGrid/>
              <w:spacing w:line="336" w:lineRule="auto"/>
              <w:jc w:val="center"/>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序</w:t>
            </w:r>
            <w:r>
              <w:rPr>
                <w:rFonts w:ascii="宋体" w:hAnsi="宋体" w:cs="宋体"/>
                <w:b/>
                <w:bCs/>
                <w:kern w:val="0"/>
                <w:sz w:val="24"/>
                <w:szCs w:val="24"/>
                <w:highlight w:val="none"/>
              </w:rPr>
              <w:t>号</w:t>
            </w:r>
          </w:p>
        </w:tc>
        <w:tc>
          <w:tcPr>
            <w:tcW w:w="2700" w:type="dxa"/>
            <w:shd w:val="clear" w:color="auto" w:fill="FFFFFF"/>
            <w:tcMar>
              <w:top w:w="75" w:type="dxa"/>
              <w:left w:w="150" w:type="dxa"/>
              <w:bottom w:w="75" w:type="dxa"/>
              <w:right w:w="150" w:type="dxa"/>
            </w:tcMar>
            <w:vAlign w:val="center"/>
          </w:tcPr>
          <w:p w14:paraId="7A69994D">
            <w:pPr>
              <w:pageBreakBefore w:val="0"/>
              <w:widowControl/>
              <w:kinsoku/>
              <w:overflowPunct/>
              <w:topLinePunct w:val="0"/>
              <w:bidi w:val="0"/>
              <w:snapToGrid/>
              <w:spacing w:line="336" w:lineRule="auto"/>
              <w:jc w:val="center"/>
              <w:textAlignment w:val="auto"/>
              <w:rPr>
                <w:rFonts w:ascii="宋体" w:hAnsi="宋体" w:cs="宋体"/>
                <w:b/>
                <w:bCs/>
                <w:kern w:val="0"/>
                <w:sz w:val="24"/>
                <w:szCs w:val="24"/>
                <w:highlight w:val="none"/>
              </w:rPr>
            </w:pPr>
            <w:r>
              <w:rPr>
                <w:rFonts w:ascii="宋体" w:hAnsi="宋体" w:cs="宋体"/>
                <w:b/>
                <w:bCs/>
                <w:kern w:val="0"/>
                <w:sz w:val="24"/>
                <w:szCs w:val="24"/>
                <w:highlight w:val="none"/>
              </w:rPr>
              <w:t>中标（成交）金额(元)</w:t>
            </w:r>
          </w:p>
        </w:tc>
        <w:tc>
          <w:tcPr>
            <w:tcW w:w="2835" w:type="dxa"/>
            <w:shd w:val="clear" w:color="auto" w:fill="FFFFFF"/>
            <w:tcMar>
              <w:top w:w="75" w:type="dxa"/>
              <w:left w:w="150" w:type="dxa"/>
              <w:bottom w:w="75" w:type="dxa"/>
              <w:right w:w="150" w:type="dxa"/>
            </w:tcMar>
            <w:vAlign w:val="center"/>
          </w:tcPr>
          <w:p w14:paraId="4042314A">
            <w:pPr>
              <w:pageBreakBefore w:val="0"/>
              <w:widowControl/>
              <w:kinsoku/>
              <w:overflowPunct/>
              <w:topLinePunct w:val="0"/>
              <w:bidi w:val="0"/>
              <w:snapToGrid/>
              <w:spacing w:line="336" w:lineRule="auto"/>
              <w:jc w:val="center"/>
              <w:textAlignment w:val="auto"/>
              <w:rPr>
                <w:rFonts w:ascii="宋体" w:hAnsi="宋体" w:cs="宋体"/>
                <w:b/>
                <w:bCs/>
                <w:kern w:val="0"/>
                <w:sz w:val="24"/>
                <w:szCs w:val="24"/>
                <w:highlight w:val="none"/>
              </w:rPr>
            </w:pPr>
            <w:r>
              <w:rPr>
                <w:rFonts w:ascii="宋体" w:hAnsi="宋体" w:cs="宋体"/>
                <w:b/>
                <w:bCs/>
                <w:kern w:val="0"/>
                <w:sz w:val="24"/>
                <w:szCs w:val="24"/>
                <w:highlight w:val="none"/>
              </w:rPr>
              <w:t>中标供应商名称</w:t>
            </w:r>
          </w:p>
        </w:tc>
        <w:tc>
          <w:tcPr>
            <w:tcW w:w="3686" w:type="dxa"/>
            <w:shd w:val="clear" w:color="auto" w:fill="FFFFFF"/>
            <w:tcMar>
              <w:top w:w="75" w:type="dxa"/>
              <w:left w:w="150" w:type="dxa"/>
              <w:bottom w:w="75" w:type="dxa"/>
              <w:right w:w="150" w:type="dxa"/>
            </w:tcMar>
            <w:vAlign w:val="center"/>
          </w:tcPr>
          <w:p w14:paraId="479C3003">
            <w:pPr>
              <w:pageBreakBefore w:val="0"/>
              <w:widowControl/>
              <w:kinsoku/>
              <w:overflowPunct/>
              <w:topLinePunct w:val="0"/>
              <w:bidi w:val="0"/>
              <w:snapToGrid/>
              <w:spacing w:line="336" w:lineRule="auto"/>
              <w:jc w:val="center"/>
              <w:textAlignment w:val="auto"/>
              <w:rPr>
                <w:rFonts w:ascii="宋体" w:hAnsi="宋体" w:cs="宋体"/>
                <w:b/>
                <w:bCs/>
                <w:kern w:val="0"/>
                <w:sz w:val="24"/>
                <w:szCs w:val="24"/>
                <w:highlight w:val="none"/>
              </w:rPr>
            </w:pPr>
            <w:r>
              <w:rPr>
                <w:rFonts w:ascii="宋体" w:hAnsi="宋体" w:cs="宋体"/>
                <w:b/>
                <w:bCs/>
                <w:kern w:val="0"/>
                <w:sz w:val="24"/>
                <w:szCs w:val="24"/>
                <w:highlight w:val="none"/>
              </w:rPr>
              <w:t>中标供应商地址</w:t>
            </w:r>
          </w:p>
        </w:tc>
      </w:tr>
      <w:tr w14:paraId="1C0B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44" w:type="dxa"/>
            <w:tcMar>
              <w:top w:w="75" w:type="dxa"/>
              <w:left w:w="150" w:type="dxa"/>
              <w:bottom w:w="75" w:type="dxa"/>
              <w:right w:w="150" w:type="dxa"/>
            </w:tcMar>
            <w:vAlign w:val="center"/>
          </w:tcPr>
          <w:p w14:paraId="49169EEB">
            <w:pPr>
              <w:pageBreakBefore w:val="0"/>
              <w:widowControl/>
              <w:kinsoku/>
              <w:overflowPunct/>
              <w:topLinePunct w:val="0"/>
              <w:bidi w:val="0"/>
              <w:snapToGrid/>
              <w:spacing w:line="336" w:lineRule="auto"/>
              <w:jc w:val="center"/>
              <w:textAlignment w:val="auto"/>
              <w:rPr>
                <w:rFonts w:ascii="宋体" w:hAnsi="宋体"/>
                <w:color w:val="000000"/>
                <w:sz w:val="24"/>
                <w:szCs w:val="24"/>
                <w:highlight w:val="none"/>
              </w:rPr>
            </w:pPr>
            <w:r>
              <w:rPr>
                <w:rFonts w:ascii="宋体" w:hAnsi="宋体"/>
                <w:color w:val="000000"/>
                <w:sz w:val="24"/>
                <w:szCs w:val="24"/>
                <w:highlight w:val="none"/>
              </w:rPr>
              <w:t>1</w:t>
            </w:r>
          </w:p>
        </w:tc>
        <w:tc>
          <w:tcPr>
            <w:tcW w:w="2700" w:type="dxa"/>
            <w:tcMar>
              <w:top w:w="75" w:type="dxa"/>
              <w:left w:w="150" w:type="dxa"/>
              <w:bottom w:w="75" w:type="dxa"/>
              <w:right w:w="150" w:type="dxa"/>
            </w:tcMar>
            <w:vAlign w:val="center"/>
          </w:tcPr>
          <w:p w14:paraId="23CE64BA">
            <w:pPr>
              <w:pageBreakBefore w:val="0"/>
              <w:widowControl/>
              <w:kinsoku/>
              <w:wordWrap w:val="0"/>
              <w:overflowPunct/>
              <w:topLinePunct w:val="0"/>
              <w:bidi w:val="0"/>
              <w:snapToGrid/>
              <w:spacing w:line="336" w:lineRule="auto"/>
              <w:jc w:val="center"/>
              <w:textAlignment w:val="auto"/>
              <w:rPr>
                <w:rFonts w:ascii="宋体" w:hAnsi="宋体"/>
                <w:color w:val="000000"/>
                <w:sz w:val="24"/>
                <w:szCs w:val="24"/>
                <w:highlight w:val="none"/>
              </w:rPr>
            </w:pPr>
            <w:r>
              <w:rPr>
                <w:rFonts w:ascii="宋体" w:hAnsi="宋体"/>
                <w:color w:val="000000"/>
                <w:sz w:val="24"/>
                <w:szCs w:val="24"/>
                <w:highlight w:val="none"/>
              </w:rPr>
              <w:t>报价</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72000</w:t>
            </w:r>
            <w:r>
              <w:rPr>
                <w:rFonts w:ascii="宋体" w:hAnsi="宋体"/>
                <w:color w:val="000000"/>
                <w:sz w:val="24"/>
                <w:szCs w:val="24"/>
                <w:highlight w:val="none"/>
              </w:rPr>
              <w:t>(元)</w:t>
            </w:r>
          </w:p>
        </w:tc>
        <w:tc>
          <w:tcPr>
            <w:tcW w:w="2835" w:type="dxa"/>
            <w:tcMar>
              <w:top w:w="75" w:type="dxa"/>
              <w:left w:w="150" w:type="dxa"/>
              <w:bottom w:w="75" w:type="dxa"/>
              <w:right w:w="150" w:type="dxa"/>
            </w:tcMar>
            <w:vAlign w:val="center"/>
          </w:tcPr>
          <w:p w14:paraId="57603A6A">
            <w:pPr>
              <w:pageBreakBefore w:val="0"/>
              <w:widowControl/>
              <w:kinsoku/>
              <w:overflowPunct/>
              <w:topLinePunct w:val="0"/>
              <w:bidi w:val="0"/>
              <w:snapToGrid/>
              <w:spacing w:line="336" w:lineRule="auto"/>
              <w:jc w:val="center"/>
              <w:textAlignment w:val="auto"/>
              <w:rPr>
                <w:rFonts w:ascii="宋体" w:hAnsi="宋体"/>
                <w:color w:val="000000"/>
                <w:sz w:val="24"/>
                <w:szCs w:val="24"/>
                <w:highlight w:val="none"/>
              </w:rPr>
            </w:pPr>
            <w:r>
              <w:rPr>
                <w:rFonts w:hint="eastAsia" w:ascii="宋体" w:hAnsi="宋体"/>
                <w:color w:val="000000"/>
                <w:sz w:val="24"/>
                <w:szCs w:val="24"/>
                <w:highlight w:val="none"/>
              </w:rPr>
              <w:t>广东君奇医药科技有限公司</w:t>
            </w:r>
          </w:p>
        </w:tc>
        <w:tc>
          <w:tcPr>
            <w:tcW w:w="3686" w:type="dxa"/>
            <w:tcMar>
              <w:top w:w="75" w:type="dxa"/>
              <w:left w:w="150" w:type="dxa"/>
              <w:bottom w:w="75" w:type="dxa"/>
              <w:right w:w="150" w:type="dxa"/>
            </w:tcMar>
            <w:vAlign w:val="center"/>
          </w:tcPr>
          <w:p w14:paraId="124F74BE">
            <w:pPr>
              <w:pageBreakBefore w:val="0"/>
              <w:widowControl/>
              <w:kinsoku/>
              <w:overflowPunct/>
              <w:topLinePunct w:val="0"/>
              <w:bidi w:val="0"/>
              <w:snapToGrid/>
              <w:spacing w:line="336" w:lineRule="auto"/>
              <w:jc w:val="center"/>
              <w:textAlignment w:val="auto"/>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广东省佛山市顺德区杏坛镇顺业东路33号盛越园17栋101</w:t>
            </w:r>
          </w:p>
        </w:tc>
      </w:tr>
    </w:tbl>
    <w:p w14:paraId="478F27FF">
      <w:pPr>
        <w:pageBreakBefore w:val="0"/>
        <w:widowControl/>
        <w:kinsoku/>
        <w:overflowPunct/>
        <w:topLinePunct w:val="0"/>
        <w:bidi w:val="0"/>
        <w:snapToGrid/>
        <w:spacing w:line="336" w:lineRule="auto"/>
        <w:ind w:firstLine="480" w:firstLineChars="200"/>
        <w:jc w:val="left"/>
        <w:textAlignment w:val="auto"/>
        <w:rPr>
          <w:rFonts w:ascii="仿宋" w:hAnsi="仿宋" w:cs="宋体"/>
          <w:color w:val="000000"/>
          <w:kern w:val="0"/>
          <w:sz w:val="27"/>
          <w:szCs w:val="27"/>
        </w:rPr>
      </w:pPr>
      <w:r>
        <w:rPr>
          <w:rFonts w:ascii="宋体" w:hAnsi="宋体"/>
          <w:color w:val="000000"/>
          <w:sz w:val="24"/>
          <w:szCs w:val="24"/>
        </w:rPr>
        <w:t>2.废标结果:</w:t>
      </w:r>
    </w:p>
    <w:tbl>
      <w:tblPr>
        <w:tblStyle w:val="9"/>
        <w:tblW w:w="5063"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34"/>
        <w:gridCol w:w="2484"/>
        <w:gridCol w:w="2484"/>
        <w:gridCol w:w="2761"/>
      </w:tblGrid>
      <w:tr w14:paraId="7F0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60" w:type="pct"/>
            <w:tcMar>
              <w:top w:w="75" w:type="dxa"/>
              <w:left w:w="150" w:type="dxa"/>
              <w:bottom w:w="75" w:type="dxa"/>
              <w:right w:w="150" w:type="dxa"/>
            </w:tcMar>
            <w:vAlign w:val="center"/>
          </w:tcPr>
          <w:p w14:paraId="6409DB5D">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序号</w:t>
            </w:r>
          </w:p>
        </w:tc>
        <w:tc>
          <w:tcPr>
            <w:tcW w:w="1234" w:type="pct"/>
            <w:tcMar>
              <w:top w:w="75" w:type="dxa"/>
              <w:left w:w="150" w:type="dxa"/>
              <w:bottom w:w="75" w:type="dxa"/>
              <w:right w:w="150" w:type="dxa"/>
            </w:tcMar>
            <w:vAlign w:val="center"/>
          </w:tcPr>
          <w:p w14:paraId="6715E8B6">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标项名称</w:t>
            </w:r>
          </w:p>
        </w:tc>
        <w:tc>
          <w:tcPr>
            <w:tcW w:w="1234" w:type="pct"/>
            <w:tcMar>
              <w:top w:w="75" w:type="dxa"/>
              <w:left w:w="150" w:type="dxa"/>
              <w:bottom w:w="75" w:type="dxa"/>
              <w:right w:w="150" w:type="dxa"/>
            </w:tcMar>
            <w:vAlign w:val="center"/>
          </w:tcPr>
          <w:p w14:paraId="486190A2">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废标理由</w:t>
            </w:r>
          </w:p>
        </w:tc>
        <w:tc>
          <w:tcPr>
            <w:tcW w:w="1372" w:type="pct"/>
            <w:tcMar>
              <w:top w:w="75" w:type="dxa"/>
              <w:left w:w="150" w:type="dxa"/>
              <w:bottom w:w="75" w:type="dxa"/>
              <w:right w:w="150" w:type="dxa"/>
            </w:tcMar>
            <w:vAlign w:val="center"/>
          </w:tcPr>
          <w:p w14:paraId="01E5E609">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其他事项</w:t>
            </w:r>
          </w:p>
        </w:tc>
      </w:tr>
      <w:tr w14:paraId="307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60" w:type="pct"/>
            <w:tcMar>
              <w:top w:w="75" w:type="dxa"/>
              <w:left w:w="150" w:type="dxa"/>
              <w:bottom w:w="75" w:type="dxa"/>
              <w:right w:w="150" w:type="dxa"/>
            </w:tcMar>
            <w:vAlign w:val="center"/>
          </w:tcPr>
          <w:p w14:paraId="68AC054A">
            <w:pPr>
              <w:pageBreakBefore w:val="0"/>
              <w:widowControl/>
              <w:kinsoku/>
              <w:overflowPunct/>
              <w:topLinePunct w:val="0"/>
              <w:bidi w:val="0"/>
              <w:snapToGrid/>
              <w:spacing w:line="336"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c>
          <w:tcPr>
            <w:tcW w:w="1234" w:type="pct"/>
            <w:tcMar>
              <w:top w:w="75" w:type="dxa"/>
              <w:left w:w="150" w:type="dxa"/>
              <w:bottom w:w="75" w:type="dxa"/>
              <w:right w:w="150" w:type="dxa"/>
            </w:tcMar>
            <w:vAlign w:val="center"/>
          </w:tcPr>
          <w:p w14:paraId="74AB58B2">
            <w:pPr>
              <w:pageBreakBefore w:val="0"/>
              <w:widowControl/>
              <w:kinsoku/>
              <w:overflowPunct/>
              <w:topLinePunct w:val="0"/>
              <w:bidi w:val="0"/>
              <w:snapToGrid/>
              <w:spacing w:line="336" w:lineRule="auto"/>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c>
          <w:tcPr>
            <w:tcW w:w="1234" w:type="pct"/>
            <w:tcMar>
              <w:top w:w="75" w:type="dxa"/>
              <w:left w:w="150" w:type="dxa"/>
              <w:bottom w:w="75" w:type="dxa"/>
              <w:right w:w="150" w:type="dxa"/>
            </w:tcMar>
            <w:vAlign w:val="center"/>
          </w:tcPr>
          <w:p w14:paraId="087BFD46">
            <w:pPr>
              <w:pageBreakBefore w:val="0"/>
              <w:widowControl/>
              <w:kinsoku/>
              <w:overflowPunct/>
              <w:topLinePunct w:val="0"/>
              <w:bidi w:val="0"/>
              <w:snapToGrid/>
              <w:spacing w:line="336" w:lineRule="auto"/>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c>
          <w:tcPr>
            <w:tcW w:w="1372" w:type="pct"/>
            <w:tcMar>
              <w:top w:w="75" w:type="dxa"/>
              <w:left w:w="150" w:type="dxa"/>
              <w:bottom w:w="75" w:type="dxa"/>
              <w:right w:w="150" w:type="dxa"/>
            </w:tcMar>
            <w:vAlign w:val="center"/>
          </w:tcPr>
          <w:p w14:paraId="69B1E09D">
            <w:pPr>
              <w:pageBreakBefore w:val="0"/>
              <w:widowControl/>
              <w:kinsoku/>
              <w:overflowPunct/>
              <w:topLinePunct w:val="0"/>
              <w:bidi w:val="0"/>
              <w:snapToGrid/>
              <w:spacing w:line="336" w:lineRule="auto"/>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w:t>
            </w:r>
          </w:p>
        </w:tc>
      </w:tr>
    </w:tbl>
    <w:p w14:paraId="1C4BB2D8">
      <w:pPr>
        <w:pageBreakBefore w:val="0"/>
        <w:widowControl/>
        <w:kinsoku/>
        <w:overflowPunct/>
        <w:topLinePunct w:val="0"/>
        <w:bidi w:val="0"/>
        <w:snapToGrid/>
        <w:spacing w:line="336" w:lineRule="auto"/>
        <w:jc w:val="left"/>
        <w:textAlignment w:val="auto"/>
        <w:rPr>
          <w:rFonts w:ascii="黑体" w:hAnsi="黑体" w:eastAsia="黑体" w:cs="宋体"/>
          <w:color w:val="000000"/>
          <w:kern w:val="0"/>
          <w:sz w:val="27"/>
          <w:szCs w:val="27"/>
        </w:rPr>
      </w:pPr>
      <w:r>
        <w:rPr>
          <w:rFonts w:hint="eastAsia" w:ascii="宋体" w:hAnsi="宋体"/>
          <w:b/>
          <w:color w:val="000000" w:themeColor="text1"/>
          <w:sz w:val="24"/>
          <w:szCs w:val="24"/>
        </w:rPr>
        <w:t>四、主要标的信息</w:t>
      </w:r>
    </w:p>
    <w:p w14:paraId="1E04E4B8">
      <w:pPr>
        <w:pageBreakBefore w:val="0"/>
        <w:widowControl/>
        <w:kinsoku/>
        <w:overflowPunct/>
        <w:topLinePunct w:val="0"/>
        <w:bidi w:val="0"/>
        <w:snapToGrid/>
        <w:spacing w:line="336" w:lineRule="auto"/>
        <w:ind w:firstLine="480" w:firstLineChars="200"/>
        <w:jc w:val="left"/>
        <w:textAlignment w:val="auto"/>
        <w:rPr>
          <w:rFonts w:ascii="宋体" w:hAnsi="宋体"/>
          <w:color w:val="000000"/>
          <w:sz w:val="24"/>
          <w:szCs w:val="24"/>
        </w:rPr>
      </w:pPr>
      <w:r>
        <w:rPr>
          <w:rFonts w:ascii="宋体" w:hAnsi="宋体"/>
          <w:color w:val="000000"/>
          <w:sz w:val="24"/>
          <w:szCs w:val="24"/>
        </w:rPr>
        <w:t>服务类主要标的信息：</w:t>
      </w:r>
    </w:p>
    <w:tbl>
      <w:tblPr>
        <w:tblStyle w:val="9"/>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84"/>
        <w:gridCol w:w="1692"/>
        <w:gridCol w:w="1717"/>
        <w:gridCol w:w="1250"/>
        <w:gridCol w:w="1400"/>
        <w:gridCol w:w="2266"/>
        <w:gridCol w:w="1371"/>
      </w:tblGrid>
      <w:tr w14:paraId="439C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Align w:val="center"/>
          </w:tcPr>
          <w:p w14:paraId="11E626F2">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序号</w:t>
            </w:r>
          </w:p>
        </w:tc>
        <w:tc>
          <w:tcPr>
            <w:tcW w:w="1692" w:type="dxa"/>
            <w:vAlign w:val="center"/>
          </w:tcPr>
          <w:p w14:paraId="749F1ED4">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标项名称</w:t>
            </w:r>
          </w:p>
        </w:tc>
        <w:tc>
          <w:tcPr>
            <w:tcW w:w="1717" w:type="dxa"/>
            <w:vAlign w:val="center"/>
          </w:tcPr>
          <w:p w14:paraId="1EC6606E">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标的名称</w:t>
            </w:r>
          </w:p>
        </w:tc>
        <w:tc>
          <w:tcPr>
            <w:tcW w:w="1250" w:type="dxa"/>
            <w:vAlign w:val="center"/>
          </w:tcPr>
          <w:p w14:paraId="6487A3E4">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服务范围</w:t>
            </w:r>
          </w:p>
        </w:tc>
        <w:tc>
          <w:tcPr>
            <w:tcW w:w="1400" w:type="dxa"/>
            <w:vAlign w:val="center"/>
          </w:tcPr>
          <w:p w14:paraId="1F4BA731">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服务要求</w:t>
            </w:r>
          </w:p>
        </w:tc>
        <w:tc>
          <w:tcPr>
            <w:tcW w:w="2266" w:type="dxa"/>
            <w:vAlign w:val="center"/>
          </w:tcPr>
          <w:p w14:paraId="34A2C618">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服务时间</w:t>
            </w:r>
          </w:p>
        </w:tc>
        <w:tc>
          <w:tcPr>
            <w:tcW w:w="1371" w:type="dxa"/>
            <w:vAlign w:val="center"/>
          </w:tcPr>
          <w:p w14:paraId="643D3423">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ascii="宋体" w:hAnsi="宋体"/>
                <w:color w:val="000000"/>
                <w:sz w:val="24"/>
                <w:szCs w:val="24"/>
              </w:rPr>
              <w:t>服务标准</w:t>
            </w:r>
          </w:p>
        </w:tc>
      </w:tr>
      <w:tr w14:paraId="1E75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4" w:hRule="atLeast"/>
        </w:trPr>
        <w:tc>
          <w:tcPr>
            <w:tcW w:w="0" w:type="auto"/>
            <w:vAlign w:val="center"/>
          </w:tcPr>
          <w:p w14:paraId="582E77D1">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1</w:t>
            </w:r>
          </w:p>
        </w:tc>
        <w:tc>
          <w:tcPr>
            <w:tcW w:w="1692" w:type="dxa"/>
            <w:vAlign w:val="center"/>
          </w:tcPr>
          <w:p w14:paraId="3228CE48">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碘[131I]化钠口服溶液配送服务采购</w:t>
            </w:r>
          </w:p>
        </w:tc>
        <w:tc>
          <w:tcPr>
            <w:tcW w:w="1717" w:type="dxa"/>
            <w:vAlign w:val="center"/>
          </w:tcPr>
          <w:p w14:paraId="0751F6A1">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碘[131I]化钠口服溶液配送服务</w:t>
            </w:r>
          </w:p>
        </w:tc>
        <w:tc>
          <w:tcPr>
            <w:tcW w:w="1250" w:type="dxa"/>
            <w:vAlign w:val="center"/>
          </w:tcPr>
          <w:p w14:paraId="7B12D09E">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详见竞争性磋商文件</w:t>
            </w:r>
          </w:p>
        </w:tc>
        <w:tc>
          <w:tcPr>
            <w:tcW w:w="1400" w:type="dxa"/>
            <w:vAlign w:val="center"/>
          </w:tcPr>
          <w:p w14:paraId="3B864AD6">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详见竞争性磋商文件</w:t>
            </w:r>
          </w:p>
        </w:tc>
        <w:tc>
          <w:tcPr>
            <w:tcW w:w="2266" w:type="dxa"/>
            <w:vAlign w:val="center"/>
          </w:tcPr>
          <w:p w14:paraId="77872EB5">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自签订合同之日起2年或2年内采购金额达到本项目合同总金额，合同自动终止。</w:t>
            </w:r>
          </w:p>
        </w:tc>
        <w:tc>
          <w:tcPr>
            <w:tcW w:w="1371" w:type="dxa"/>
            <w:vAlign w:val="center"/>
          </w:tcPr>
          <w:p w14:paraId="7445022D">
            <w:pPr>
              <w:pageBreakBefore w:val="0"/>
              <w:widowControl/>
              <w:kinsoku/>
              <w:overflowPunct/>
              <w:topLinePunct w:val="0"/>
              <w:bidi w:val="0"/>
              <w:snapToGrid/>
              <w:spacing w:line="336" w:lineRule="auto"/>
              <w:jc w:val="center"/>
              <w:textAlignment w:val="auto"/>
              <w:rPr>
                <w:rFonts w:ascii="宋体" w:hAnsi="宋体"/>
                <w:color w:val="000000"/>
                <w:sz w:val="24"/>
                <w:szCs w:val="24"/>
              </w:rPr>
            </w:pPr>
            <w:r>
              <w:rPr>
                <w:rFonts w:hint="eastAsia" w:ascii="宋体" w:hAnsi="宋体"/>
                <w:color w:val="000000"/>
                <w:sz w:val="24"/>
                <w:szCs w:val="24"/>
              </w:rPr>
              <w:t>详见竞争性磋商文件</w:t>
            </w:r>
          </w:p>
        </w:tc>
      </w:tr>
    </w:tbl>
    <w:p w14:paraId="31097EE5">
      <w:pPr>
        <w:pageBreakBefore w:val="0"/>
        <w:widowControl/>
        <w:kinsoku/>
        <w:overflowPunct/>
        <w:topLinePunct w:val="0"/>
        <w:bidi w:val="0"/>
        <w:snapToGrid/>
        <w:spacing w:line="336" w:lineRule="auto"/>
        <w:jc w:val="left"/>
        <w:textAlignment w:val="auto"/>
        <w:rPr>
          <w:rFonts w:ascii="黑体" w:hAnsi="黑体" w:eastAsia="黑体" w:cs="宋体"/>
          <w:color w:val="000000"/>
          <w:kern w:val="0"/>
          <w:sz w:val="27"/>
          <w:szCs w:val="27"/>
        </w:rPr>
      </w:pPr>
      <w:r>
        <w:rPr>
          <w:rFonts w:hint="eastAsia" w:ascii="宋体" w:hAnsi="宋体"/>
          <w:b/>
          <w:color w:val="000000" w:themeColor="text1"/>
          <w:sz w:val="24"/>
          <w:szCs w:val="24"/>
        </w:rPr>
        <w:t>五、评审专家（单一来源采购人员）名单：</w:t>
      </w:r>
    </w:p>
    <w:p w14:paraId="0FC7435C">
      <w:pPr>
        <w:pageBreakBefore w:val="0"/>
        <w:widowControl/>
        <w:kinsoku/>
        <w:overflowPunct/>
        <w:topLinePunct w:val="0"/>
        <w:bidi w:val="0"/>
        <w:snapToGrid/>
        <w:spacing w:line="336" w:lineRule="auto"/>
        <w:ind w:firstLine="480" w:firstLineChars="200"/>
        <w:textAlignment w:val="auto"/>
        <w:rPr>
          <w:rFonts w:ascii="宋体" w:hAnsi="宋体"/>
          <w:sz w:val="24"/>
        </w:rPr>
      </w:pPr>
      <w:r>
        <w:rPr>
          <w:rFonts w:hint="eastAsia" w:ascii="宋体" w:hAnsi="宋体"/>
          <w:sz w:val="24"/>
        </w:rPr>
        <w:t>黄党生（自行抽取）</w:t>
      </w:r>
      <w:r>
        <w:rPr>
          <w:rFonts w:hint="eastAsia" w:ascii="宋体" w:hAnsi="宋体"/>
          <w:sz w:val="24"/>
          <w:lang w:eastAsia="zh-CN"/>
        </w:rPr>
        <w:t>，卢文庭（自行抽取），韦雅丽（</w:t>
      </w:r>
      <w:r>
        <w:rPr>
          <w:rFonts w:hint="eastAsia" w:ascii="宋体" w:hAnsi="宋体"/>
          <w:sz w:val="24"/>
        </w:rPr>
        <w:t>第1分标采购人代表</w:t>
      </w:r>
      <w:r>
        <w:rPr>
          <w:rFonts w:hint="eastAsia" w:ascii="宋体" w:hAnsi="宋体"/>
          <w:sz w:val="24"/>
          <w:lang w:eastAsia="zh-CN"/>
        </w:rPr>
        <w:t>）（自行抽取）</w:t>
      </w:r>
    </w:p>
    <w:p w14:paraId="7388C68B">
      <w:pPr>
        <w:pageBreakBefore w:val="0"/>
        <w:widowControl/>
        <w:kinsoku/>
        <w:overflowPunct/>
        <w:topLinePunct w:val="0"/>
        <w:bidi w:val="0"/>
        <w:snapToGrid/>
        <w:spacing w:line="336" w:lineRule="auto"/>
        <w:textAlignment w:val="auto"/>
        <w:rPr>
          <w:rFonts w:ascii="黑体" w:hAnsi="黑体" w:eastAsia="黑体" w:cs="宋体"/>
          <w:color w:val="000000"/>
          <w:kern w:val="0"/>
          <w:sz w:val="27"/>
          <w:szCs w:val="27"/>
        </w:rPr>
      </w:pPr>
      <w:r>
        <w:rPr>
          <w:rFonts w:hint="eastAsia" w:ascii="宋体" w:hAnsi="宋体"/>
          <w:b/>
          <w:color w:val="000000" w:themeColor="text1"/>
          <w:sz w:val="24"/>
          <w:szCs w:val="24"/>
        </w:rPr>
        <w:t>六、代理服务收费标准及金额：</w:t>
      </w:r>
    </w:p>
    <w:p w14:paraId="59529692">
      <w:pPr>
        <w:pageBreakBefore w:val="0"/>
        <w:widowControl/>
        <w:kinsoku/>
        <w:overflowPunct/>
        <w:topLinePunct w:val="0"/>
        <w:bidi w:val="0"/>
        <w:snapToGrid/>
        <w:spacing w:line="336" w:lineRule="auto"/>
        <w:ind w:firstLine="480" w:firstLineChars="200"/>
        <w:textAlignment w:val="auto"/>
        <w:rPr>
          <w:rFonts w:ascii="宋体" w:hAnsi="宋体"/>
          <w:color w:val="000000"/>
          <w:sz w:val="24"/>
          <w:szCs w:val="24"/>
        </w:rPr>
      </w:pPr>
      <w:r>
        <w:rPr>
          <w:rFonts w:ascii="宋体" w:hAnsi="宋体"/>
          <w:color w:val="000000"/>
          <w:sz w:val="24"/>
          <w:szCs w:val="24"/>
        </w:rPr>
        <w:t>1.代理服务收费标准：</w:t>
      </w:r>
      <w:r>
        <w:rPr>
          <w:rFonts w:hint="eastAsia" w:ascii="宋体" w:hAnsi="宋体"/>
          <w:color w:val="000000"/>
          <w:sz w:val="24"/>
          <w:szCs w:val="24"/>
        </w:rPr>
        <w:t>本项目代理服务费按</w:t>
      </w:r>
      <w:r>
        <w:rPr>
          <w:rFonts w:hint="eastAsia" w:ascii="宋体" w:hAnsi="宋体"/>
          <w:color w:val="000000"/>
          <w:sz w:val="24"/>
          <w:szCs w:val="24"/>
          <w:lang w:val="en-US" w:eastAsia="zh-CN"/>
        </w:rPr>
        <w:t>竞争性磋商文件“供应商</w:t>
      </w:r>
      <w:r>
        <w:rPr>
          <w:rFonts w:hint="eastAsia" w:ascii="宋体" w:hAnsi="宋体"/>
          <w:color w:val="000000"/>
          <w:sz w:val="24"/>
          <w:szCs w:val="24"/>
        </w:rPr>
        <w:t>须知</w:t>
      </w:r>
      <w:r>
        <w:rPr>
          <w:rFonts w:hint="eastAsia" w:ascii="宋体" w:hAnsi="宋体"/>
          <w:color w:val="000000"/>
          <w:sz w:val="24"/>
          <w:szCs w:val="24"/>
          <w:lang w:eastAsia="zh-CN"/>
        </w:rPr>
        <w:t>”</w:t>
      </w:r>
      <w:r>
        <w:rPr>
          <w:rFonts w:hint="eastAsia" w:ascii="宋体" w:hAnsi="宋体"/>
          <w:color w:val="000000"/>
          <w:sz w:val="24"/>
          <w:szCs w:val="24"/>
        </w:rPr>
        <w:t>第32.2款规定的标准采用差额定率累进计费方式下浮20%计算（取整到元），由成交供应商在领取成交通知书时，一次性向采购代理机构支付。</w:t>
      </w:r>
    </w:p>
    <w:p w14:paraId="1DB15130">
      <w:pPr>
        <w:pageBreakBefore w:val="0"/>
        <w:widowControl/>
        <w:kinsoku/>
        <w:overflowPunct/>
        <w:topLinePunct w:val="0"/>
        <w:bidi w:val="0"/>
        <w:snapToGrid/>
        <w:spacing w:line="336" w:lineRule="auto"/>
        <w:ind w:firstLine="480" w:firstLineChars="200"/>
        <w:jc w:val="left"/>
        <w:textAlignment w:val="auto"/>
        <w:rPr>
          <w:rFonts w:hint="default" w:ascii="宋体" w:hAnsi="宋体" w:eastAsia="宋体"/>
          <w:color w:val="000000"/>
          <w:sz w:val="24"/>
          <w:szCs w:val="24"/>
          <w:lang w:val="en-US" w:eastAsia="zh-CN"/>
        </w:rPr>
      </w:pPr>
      <w:r>
        <w:rPr>
          <w:rFonts w:ascii="宋体" w:hAnsi="宋体"/>
          <w:color w:val="000000"/>
          <w:sz w:val="24"/>
          <w:szCs w:val="24"/>
        </w:rPr>
        <w:t>2.代理服务收费金额（元）：</w:t>
      </w:r>
      <w:r>
        <w:rPr>
          <w:rFonts w:hint="eastAsia" w:ascii="宋体" w:hAnsi="宋体"/>
          <w:color w:val="000000"/>
          <w:sz w:val="24"/>
          <w:szCs w:val="24"/>
          <w:lang w:val="en-US" w:eastAsia="zh-CN"/>
        </w:rPr>
        <w:t>864</w:t>
      </w:r>
    </w:p>
    <w:p w14:paraId="75D1ACA9">
      <w:pPr>
        <w:pageBreakBefore w:val="0"/>
        <w:widowControl/>
        <w:kinsoku/>
        <w:overflowPunct/>
        <w:topLinePunct w:val="0"/>
        <w:bidi w:val="0"/>
        <w:snapToGrid/>
        <w:spacing w:line="336" w:lineRule="auto"/>
        <w:textAlignment w:val="auto"/>
        <w:rPr>
          <w:rFonts w:ascii="宋体" w:hAnsi="宋体"/>
          <w:b/>
          <w:color w:val="000000" w:themeColor="text1"/>
          <w:sz w:val="24"/>
          <w:szCs w:val="24"/>
        </w:rPr>
      </w:pPr>
      <w:r>
        <w:rPr>
          <w:rFonts w:hint="eastAsia" w:ascii="宋体" w:hAnsi="宋体"/>
          <w:b/>
          <w:color w:val="000000" w:themeColor="text1"/>
          <w:sz w:val="24"/>
          <w:szCs w:val="24"/>
        </w:rPr>
        <w:t>七、公告期限</w:t>
      </w:r>
    </w:p>
    <w:p w14:paraId="73EA7FFD">
      <w:pPr>
        <w:pageBreakBefore w:val="0"/>
        <w:widowControl/>
        <w:kinsoku/>
        <w:overflowPunct/>
        <w:topLinePunct w:val="0"/>
        <w:bidi w:val="0"/>
        <w:snapToGrid/>
        <w:spacing w:line="336" w:lineRule="auto"/>
        <w:ind w:firstLine="480" w:firstLineChars="200"/>
        <w:jc w:val="left"/>
        <w:textAlignment w:val="auto"/>
        <w:rPr>
          <w:rFonts w:ascii="宋体" w:hAnsi="宋体"/>
          <w:color w:val="000000"/>
          <w:sz w:val="24"/>
          <w:szCs w:val="24"/>
        </w:rPr>
      </w:pPr>
      <w:r>
        <w:rPr>
          <w:rFonts w:ascii="宋体" w:hAnsi="宋体"/>
          <w:color w:val="000000"/>
          <w:sz w:val="24"/>
          <w:szCs w:val="24"/>
        </w:rPr>
        <w:t>自本公告发布之日起1个工作日。</w:t>
      </w:r>
    </w:p>
    <w:p w14:paraId="3850ED3D">
      <w:pPr>
        <w:pageBreakBefore w:val="0"/>
        <w:widowControl/>
        <w:kinsoku/>
        <w:overflowPunct/>
        <w:topLinePunct w:val="0"/>
        <w:bidi w:val="0"/>
        <w:snapToGrid/>
        <w:spacing w:line="336" w:lineRule="auto"/>
        <w:textAlignment w:val="auto"/>
        <w:rPr>
          <w:rFonts w:ascii="宋体" w:hAnsi="宋体"/>
          <w:b/>
          <w:color w:val="000000" w:themeColor="text1"/>
          <w:sz w:val="24"/>
          <w:szCs w:val="24"/>
        </w:rPr>
      </w:pPr>
      <w:r>
        <w:rPr>
          <w:rFonts w:hint="eastAsia" w:ascii="宋体" w:hAnsi="宋体"/>
          <w:b/>
          <w:color w:val="000000" w:themeColor="text1"/>
          <w:sz w:val="24"/>
          <w:szCs w:val="24"/>
        </w:rPr>
        <w:t>八、其他补充事宜</w:t>
      </w:r>
    </w:p>
    <w:p w14:paraId="2C3D698D">
      <w:pPr>
        <w:pageBreakBefore w:val="0"/>
        <w:widowControl/>
        <w:kinsoku/>
        <w:wordWrap w:val="0"/>
        <w:overflowPunct/>
        <w:topLinePunct w:val="0"/>
        <w:bidi w:val="0"/>
        <w:snapToGrid/>
        <w:spacing w:line="336" w:lineRule="auto"/>
        <w:ind w:firstLine="480" w:firstLineChars="200"/>
        <w:jc w:val="left"/>
        <w:textAlignment w:val="auto"/>
        <w:rPr>
          <w:rFonts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1.网上查询地址：www.ccgp.gov.cn（中国政府采购网）、zfcg.gxzf.gov.cn（广西壮族自治区政府采购网）、zfcg.lzscz.liuzhou.gov.cn（广西柳州政府采购网）。</w:t>
      </w:r>
    </w:p>
    <w:p w14:paraId="3AB48D9A">
      <w:pPr>
        <w:pageBreakBefore w:val="0"/>
        <w:widowControl/>
        <w:kinsoku/>
        <w:overflowPunct/>
        <w:topLinePunct w:val="0"/>
        <w:bidi w:val="0"/>
        <w:snapToGrid/>
        <w:spacing w:line="336" w:lineRule="auto"/>
        <w:ind w:firstLine="480" w:firstLineChars="200"/>
        <w:jc w:val="left"/>
        <w:textAlignment w:val="auto"/>
        <w:rPr>
          <w:rFonts w:hint="eastAsia" w:cs="Arial" w:asciiTheme="minorEastAsia" w:hAnsiTheme="minorEastAsia" w:eastAsiaTheme="minorEastAsia"/>
          <w:color w:val="000000"/>
          <w:kern w:val="0"/>
          <w:sz w:val="24"/>
          <w:szCs w:val="24"/>
        </w:rPr>
      </w:pPr>
      <w:r>
        <w:rPr>
          <w:rFonts w:hint="eastAsia" w:cs="Arial" w:asciiTheme="minorEastAsia" w:hAnsiTheme="minorEastAsia" w:eastAsiaTheme="minorEastAsia"/>
          <w:color w:val="000000"/>
          <w:kern w:val="0"/>
          <w:sz w:val="24"/>
          <w:szCs w:val="24"/>
        </w:rPr>
        <w:t>2.供应商认为成交结果使自己的权益受到损害的，可以在成交结果公告期限届满之日起七个工作日内以书面形式向采购人或采购代理机构提出质疑，逾期将不再受理。</w:t>
      </w:r>
    </w:p>
    <w:p w14:paraId="6A5763B7">
      <w:pPr>
        <w:pageBreakBefore w:val="0"/>
        <w:widowControl/>
        <w:kinsoku/>
        <w:overflowPunct/>
        <w:topLinePunct w:val="0"/>
        <w:bidi w:val="0"/>
        <w:snapToGrid/>
        <w:spacing w:line="336" w:lineRule="auto"/>
        <w:ind w:firstLine="480" w:firstLineChars="200"/>
        <w:jc w:val="left"/>
        <w:textAlignment w:val="auto"/>
        <w:rPr>
          <w:rFonts w:hint="default" w:cs="Arial" w:asciiTheme="minorEastAsia" w:hAnsiTheme="minorEastAsia" w:eastAsiaTheme="minorEastAsia"/>
          <w:color w:val="000000"/>
          <w:kern w:val="0"/>
          <w:sz w:val="24"/>
          <w:szCs w:val="24"/>
          <w:lang w:val="en-US" w:eastAsia="zh-CN"/>
        </w:rPr>
      </w:pPr>
      <w:r>
        <w:rPr>
          <w:rFonts w:hint="eastAsia" w:cs="Arial" w:asciiTheme="minorEastAsia" w:hAnsiTheme="minorEastAsia" w:eastAsiaTheme="minorEastAsia"/>
          <w:color w:val="000000"/>
          <w:kern w:val="0"/>
          <w:sz w:val="24"/>
          <w:szCs w:val="24"/>
          <w:lang w:val="en-US" w:eastAsia="zh-CN"/>
        </w:rPr>
        <w:t>3.成交供应商评审总得分：83.33。</w:t>
      </w:r>
    </w:p>
    <w:p w14:paraId="67174ED8">
      <w:pPr>
        <w:pageBreakBefore w:val="0"/>
        <w:widowControl/>
        <w:kinsoku/>
        <w:overflowPunct/>
        <w:topLinePunct w:val="0"/>
        <w:bidi w:val="0"/>
        <w:snapToGrid/>
        <w:spacing w:line="336" w:lineRule="auto"/>
        <w:textAlignment w:val="auto"/>
        <w:rPr>
          <w:rFonts w:ascii="宋体" w:hAnsi="宋体"/>
          <w:b/>
          <w:color w:val="000000" w:themeColor="text1"/>
          <w:sz w:val="24"/>
          <w:szCs w:val="24"/>
        </w:rPr>
      </w:pPr>
      <w:r>
        <w:rPr>
          <w:rFonts w:hint="eastAsia" w:ascii="宋体" w:hAnsi="宋体"/>
          <w:b/>
          <w:color w:val="000000" w:themeColor="text1"/>
          <w:sz w:val="24"/>
          <w:szCs w:val="24"/>
        </w:rPr>
        <w:t>九、对本次公告内容提出询问，请按以下方式联系</w:t>
      </w:r>
    </w:p>
    <w:p w14:paraId="36F9F6D5">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ascii="宋体" w:hAnsi="宋体" w:cs="宋体"/>
          <w:kern w:val="0"/>
          <w:sz w:val="24"/>
          <w:szCs w:val="24"/>
        </w:rPr>
        <w:t>1.采购人信息</w:t>
      </w:r>
    </w:p>
    <w:p w14:paraId="5A0ECDC4">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ascii="宋体" w:hAnsi="宋体" w:cs="宋体"/>
          <w:kern w:val="0"/>
          <w:sz w:val="24"/>
          <w:szCs w:val="24"/>
        </w:rPr>
        <w:t>名称：</w:t>
      </w:r>
      <w:r>
        <w:rPr>
          <w:rFonts w:hint="eastAsia" w:ascii="宋体" w:hAnsi="宋体" w:cs="宋体"/>
          <w:kern w:val="0"/>
          <w:sz w:val="24"/>
          <w:szCs w:val="24"/>
        </w:rPr>
        <w:t>柳州市中医医院（柳州市壮医医院）</w:t>
      </w:r>
    </w:p>
    <w:p w14:paraId="572C86C5">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ascii="宋体" w:hAnsi="宋体" w:cs="宋体"/>
          <w:kern w:val="0"/>
          <w:sz w:val="24"/>
          <w:szCs w:val="24"/>
        </w:rPr>
        <w:t>地址：</w:t>
      </w:r>
      <w:r>
        <w:rPr>
          <w:rFonts w:hint="eastAsia" w:ascii="宋体" w:hAnsi="宋体" w:cs="宋体"/>
          <w:kern w:val="0"/>
          <w:sz w:val="24"/>
          <w:szCs w:val="24"/>
        </w:rPr>
        <w:t>广西柳州市城中区东环大道延长线东侧红葫路6号</w:t>
      </w:r>
    </w:p>
    <w:p w14:paraId="19B948DE">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ascii="宋体" w:hAnsi="宋体" w:cs="宋体"/>
          <w:kern w:val="0"/>
          <w:sz w:val="24"/>
          <w:szCs w:val="24"/>
        </w:rPr>
        <w:t>联系方式：0772-3357423</w:t>
      </w:r>
    </w:p>
    <w:p w14:paraId="3EB77D9B">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ascii="宋体" w:hAnsi="宋体" w:cs="宋体"/>
          <w:kern w:val="0"/>
          <w:sz w:val="24"/>
          <w:szCs w:val="24"/>
        </w:rPr>
        <w:t>2.采购代理机构信息</w:t>
      </w:r>
    </w:p>
    <w:p w14:paraId="7260D23F">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名称：广西大德项目管理有限公司</w:t>
      </w:r>
    </w:p>
    <w:p w14:paraId="4CF4EB3D">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地址：柳州市潭中东路17号华信国际B座910</w:t>
      </w:r>
    </w:p>
    <w:p w14:paraId="7F902DD9">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0772-2120191</w:t>
      </w:r>
    </w:p>
    <w:p w14:paraId="06C920E9">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3.项目联系方式</w:t>
      </w:r>
    </w:p>
    <w:p w14:paraId="49054801">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项目联系人：曾珺、韦华艳、梁斌雄、邱光旭</w:t>
      </w:r>
    </w:p>
    <w:p w14:paraId="70B6E40A">
      <w:pPr>
        <w:pageBreakBefore w:val="0"/>
        <w:widowControl/>
        <w:kinsoku/>
        <w:overflowPunct/>
        <w:topLinePunct w:val="0"/>
        <w:bidi w:val="0"/>
        <w:snapToGrid/>
        <w:spacing w:before="75" w:after="75"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电 话：</w:t>
      </w:r>
      <w:r>
        <w:rPr>
          <w:rFonts w:ascii="宋体" w:hAnsi="宋体" w:cs="宋体"/>
          <w:kern w:val="0"/>
          <w:sz w:val="24"/>
          <w:szCs w:val="24"/>
        </w:rPr>
        <w:t>0772-2120191</w:t>
      </w:r>
    </w:p>
    <w:p w14:paraId="03E8B815">
      <w:pPr>
        <w:pageBreakBefore w:val="0"/>
        <w:widowControl/>
        <w:kinsoku/>
        <w:overflowPunct/>
        <w:topLinePunct w:val="0"/>
        <w:bidi w:val="0"/>
        <w:snapToGrid/>
        <w:spacing w:line="336" w:lineRule="auto"/>
        <w:ind w:firstLine="480" w:firstLineChars="200"/>
        <w:jc w:val="left"/>
        <w:textAlignment w:val="auto"/>
        <w:rPr>
          <w:rFonts w:hint="eastAsia" w:ascii="宋体" w:hAnsi="宋体"/>
          <w:color w:val="000000"/>
          <w:sz w:val="24"/>
          <w:szCs w:val="24"/>
          <w:lang w:val="en-US" w:eastAsia="zh-CN"/>
        </w:rPr>
      </w:pPr>
    </w:p>
    <w:p w14:paraId="4356552F">
      <w:pPr>
        <w:pageBreakBefore w:val="0"/>
        <w:widowControl/>
        <w:kinsoku/>
        <w:overflowPunct/>
        <w:topLinePunct w:val="0"/>
        <w:bidi w:val="0"/>
        <w:snapToGrid/>
        <w:spacing w:line="336" w:lineRule="auto"/>
        <w:ind w:firstLine="480" w:firstLineChars="200"/>
        <w:jc w:val="left"/>
        <w:textAlignment w:val="auto"/>
        <w:rPr>
          <w:rFonts w:hint="eastAsia" w:ascii="宋体" w:hAnsi="宋体"/>
          <w:color w:val="000000"/>
          <w:sz w:val="24"/>
          <w:szCs w:val="24"/>
          <w:lang w:val="en-US" w:eastAsia="zh-CN"/>
        </w:rPr>
      </w:pPr>
      <w:bookmarkStart w:id="5" w:name="_GoBack"/>
      <w:bookmarkEnd w:id="5"/>
    </w:p>
    <w:p w14:paraId="2ABD2164">
      <w:pPr>
        <w:pageBreakBefore w:val="0"/>
        <w:widowControl/>
        <w:kinsoku/>
        <w:overflowPunct/>
        <w:topLinePunct w:val="0"/>
        <w:bidi w:val="0"/>
        <w:snapToGrid/>
        <w:spacing w:line="336" w:lineRule="auto"/>
        <w:ind w:firstLine="480" w:firstLineChars="200"/>
        <w:jc w:val="left"/>
        <w:textAlignment w:val="auto"/>
        <w:rPr>
          <w:rFonts w:hint="default" w:ascii="宋体" w:hAnsi="宋体"/>
          <w:color w:val="000000"/>
          <w:sz w:val="24"/>
          <w:szCs w:val="24"/>
          <w:lang w:val="en-US" w:eastAsia="zh-CN"/>
        </w:rPr>
      </w:pPr>
    </w:p>
    <w:p w14:paraId="01207855">
      <w:pPr>
        <w:pageBreakBefore w:val="0"/>
        <w:kinsoku/>
        <w:overflowPunct/>
        <w:topLinePunct w:val="0"/>
        <w:bidi w:val="0"/>
        <w:snapToGrid/>
        <w:spacing w:line="336" w:lineRule="auto"/>
        <w:ind w:firstLine="240" w:firstLineChars="100"/>
        <w:jc w:val="right"/>
        <w:textAlignment w:val="auto"/>
        <w:rPr>
          <w:rFonts w:asciiTheme="minorEastAsia" w:hAnsiTheme="minorEastAsia" w:eastAsiaTheme="minorEastAsia"/>
          <w:color w:val="000000" w:themeColor="text1"/>
          <w:sz w:val="24"/>
          <w:szCs w:val="24"/>
        </w:rPr>
      </w:pPr>
    </w:p>
    <w:p w14:paraId="049F6575">
      <w:pPr>
        <w:pageBreakBefore w:val="0"/>
        <w:kinsoku/>
        <w:overflowPunct/>
        <w:topLinePunct w:val="0"/>
        <w:bidi w:val="0"/>
        <w:snapToGrid/>
        <w:spacing w:line="336" w:lineRule="auto"/>
        <w:ind w:firstLine="240" w:firstLineChars="100"/>
        <w:jc w:val="right"/>
        <w:textAlignment w:val="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广西大德项目管理有限公司</w:t>
      </w:r>
    </w:p>
    <w:bookmarkEnd w:id="2"/>
    <w:bookmarkEnd w:id="3"/>
    <w:bookmarkEnd w:id="4"/>
    <w:p w14:paraId="79224752">
      <w:pPr>
        <w:pageBreakBefore w:val="0"/>
        <w:kinsoku/>
        <w:overflowPunct/>
        <w:topLinePunct w:val="0"/>
        <w:bidi w:val="0"/>
        <w:snapToGrid/>
        <w:spacing w:line="336" w:lineRule="auto"/>
        <w:ind w:firstLine="240" w:firstLineChars="100"/>
        <w:jc w:val="right"/>
        <w:textAlignment w:val="auto"/>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val="en-US" w:eastAsia="zh-CN"/>
        </w:rPr>
        <w:t>2025年07月09日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docPartObj>
        <w:docPartGallery w:val="autotext"/>
      </w:docPartObj>
    </w:sdtPr>
    <w:sdtContent>
      <w:p w14:paraId="5C0A52FE">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35AC02D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3ZDhmODk2NDRkYjI4ZDhlNmZkZDJiZmIzMjViOTYifQ=="/>
  </w:docVars>
  <w:rsids>
    <w:rsidRoot w:val="00342BB7"/>
    <w:rsid w:val="00004A3A"/>
    <w:rsid w:val="0000564F"/>
    <w:rsid w:val="00006B01"/>
    <w:rsid w:val="0001471A"/>
    <w:rsid w:val="00023911"/>
    <w:rsid w:val="00036FEC"/>
    <w:rsid w:val="00042182"/>
    <w:rsid w:val="000429B8"/>
    <w:rsid w:val="000474E0"/>
    <w:rsid w:val="00054DAF"/>
    <w:rsid w:val="0009056E"/>
    <w:rsid w:val="00092B16"/>
    <w:rsid w:val="00092D03"/>
    <w:rsid w:val="000954CC"/>
    <w:rsid w:val="000A039D"/>
    <w:rsid w:val="000A15BB"/>
    <w:rsid w:val="000B223B"/>
    <w:rsid w:val="000B531D"/>
    <w:rsid w:val="000B5FAA"/>
    <w:rsid w:val="000C2C6B"/>
    <w:rsid w:val="000C37B7"/>
    <w:rsid w:val="000C5DB8"/>
    <w:rsid w:val="000C6370"/>
    <w:rsid w:val="000E58A9"/>
    <w:rsid w:val="00105357"/>
    <w:rsid w:val="001056F6"/>
    <w:rsid w:val="0011578D"/>
    <w:rsid w:val="00117FD0"/>
    <w:rsid w:val="001242F1"/>
    <w:rsid w:val="001428D2"/>
    <w:rsid w:val="00143331"/>
    <w:rsid w:val="00153C80"/>
    <w:rsid w:val="00186CA7"/>
    <w:rsid w:val="00190007"/>
    <w:rsid w:val="00193AB7"/>
    <w:rsid w:val="001B5FAC"/>
    <w:rsid w:val="001E07A3"/>
    <w:rsid w:val="001F0132"/>
    <w:rsid w:val="001F1403"/>
    <w:rsid w:val="001F6CFD"/>
    <w:rsid w:val="00200BE6"/>
    <w:rsid w:val="002033FA"/>
    <w:rsid w:val="00212BAA"/>
    <w:rsid w:val="00213D03"/>
    <w:rsid w:val="00215A8A"/>
    <w:rsid w:val="00220EA3"/>
    <w:rsid w:val="002438A6"/>
    <w:rsid w:val="00245C1F"/>
    <w:rsid w:val="00257776"/>
    <w:rsid w:val="0026024C"/>
    <w:rsid w:val="00264EAA"/>
    <w:rsid w:val="00267A77"/>
    <w:rsid w:val="002734F4"/>
    <w:rsid w:val="002A2981"/>
    <w:rsid w:val="002B2D4F"/>
    <w:rsid w:val="002B52F6"/>
    <w:rsid w:val="002B66F1"/>
    <w:rsid w:val="002C7B1F"/>
    <w:rsid w:val="002D3EDC"/>
    <w:rsid w:val="002F7400"/>
    <w:rsid w:val="00315EFA"/>
    <w:rsid w:val="00331F88"/>
    <w:rsid w:val="00337D2D"/>
    <w:rsid w:val="00342BB7"/>
    <w:rsid w:val="00360894"/>
    <w:rsid w:val="003641C3"/>
    <w:rsid w:val="00366B1E"/>
    <w:rsid w:val="00377306"/>
    <w:rsid w:val="00384F12"/>
    <w:rsid w:val="003A3B76"/>
    <w:rsid w:val="003C15C1"/>
    <w:rsid w:val="003C6B6A"/>
    <w:rsid w:val="003D0149"/>
    <w:rsid w:val="003E57AA"/>
    <w:rsid w:val="003E7D44"/>
    <w:rsid w:val="00402E0E"/>
    <w:rsid w:val="00413585"/>
    <w:rsid w:val="00414E53"/>
    <w:rsid w:val="0041608A"/>
    <w:rsid w:val="004232AF"/>
    <w:rsid w:val="00430CCD"/>
    <w:rsid w:val="00445822"/>
    <w:rsid w:val="00455B4D"/>
    <w:rsid w:val="00467E09"/>
    <w:rsid w:val="00482583"/>
    <w:rsid w:val="00491110"/>
    <w:rsid w:val="00496DE5"/>
    <w:rsid w:val="0049770B"/>
    <w:rsid w:val="00497F17"/>
    <w:rsid w:val="004A3607"/>
    <w:rsid w:val="004B54E9"/>
    <w:rsid w:val="004C2A76"/>
    <w:rsid w:val="004E3006"/>
    <w:rsid w:val="004E42D0"/>
    <w:rsid w:val="004F0AF9"/>
    <w:rsid w:val="004F397A"/>
    <w:rsid w:val="00510686"/>
    <w:rsid w:val="005269D3"/>
    <w:rsid w:val="005331FD"/>
    <w:rsid w:val="00541818"/>
    <w:rsid w:val="0054248D"/>
    <w:rsid w:val="0054431E"/>
    <w:rsid w:val="005672A7"/>
    <w:rsid w:val="00573126"/>
    <w:rsid w:val="0057458A"/>
    <w:rsid w:val="00574EB7"/>
    <w:rsid w:val="0058049B"/>
    <w:rsid w:val="0058070E"/>
    <w:rsid w:val="0058421D"/>
    <w:rsid w:val="005A0547"/>
    <w:rsid w:val="005A3E8A"/>
    <w:rsid w:val="005A7EC4"/>
    <w:rsid w:val="005B4537"/>
    <w:rsid w:val="005F4C50"/>
    <w:rsid w:val="00614374"/>
    <w:rsid w:val="00616619"/>
    <w:rsid w:val="0061728F"/>
    <w:rsid w:val="0062275C"/>
    <w:rsid w:val="00627307"/>
    <w:rsid w:val="006325E2"/>
    <w:rsid w:val="00634B73"/>
    <w:rsid w:val="0063588B"/>
    <w:rsid w:val="006506A2"/>
    <w:rsid w:val="00660D81"/>
    <w:rsid w:val="0066746B"/>
    <w:rsid w:val="00670529"/>
    <w:rsid w:val="006746B8"/>
    <w:rsid w:val="00684110"/>
    <w:rsid w:val="0068706B"/>
    <w:rsid w:val="006A45B5"/>
    <w:rsid w:val="006B6A4A"/>
    <w:rsid w:val="006C1D43"/>
    <w:rsid w:val="006D509D"/>
    <w:rsid w:val="006E04B5"/>
    <w:rsid w:val="006F17F8"/>
    <w:rsid w:val="006F39A5"/>
    <w:rsid w:val="006F6A85"/>
    <w:rsid w:val="00700DE7"/>
    <w:rsid w:val="00707F83"/>
    <w:rsid w:val="0071281D"/>
    <w:rsid w:val="00712D9B"/>
    <w:rsid w:val="0073690B"/>
    <w:rsid w:val="00747861"/>
    <w:rsid w:val="00756F02"/>
    <w:rsid w:val="007619A1"/>
    <w:rsid w:val="00786353"/>
    <w:rsid w:val="0079116C"/>
    <w:rsid w:val="007A7A6D"/>
    <w:rsid w:val="007B0AD0"/>
    <w:rsid w:val="007B30E7"/>
    <w:rsid w:val="007B69D6"/>
    <w:rsid w:val="007C4242"/>
    <w:rsid w:val="007D2868"/>
    <w:rsid w:val="007D6C05"/>
    <w:rsid w:val="007F386F"/>
    <w:rsid w:val="007F51F9"/>
    <w:rsid w:val="00805199"/>
    <w:rsid w:val="00807801"/>
    <w:rsid w:val="00832F8E"/>
    <w:rsid w:val="0083619C"/>
    <w:rsid w:val="008369A1"/>
    <w:rsid w:val="00844703"/>
    <w:rsid w:val="0086211A"/>
    <w:rsid w:val="0086601A"/>
    <w:rsid w:val="00880A07"/>
    <w:rsid w:val="00883503"/>
    <w:rsid w:val="00884844"/>
    <w:rsid w:val="00894373"/>
    <w:rsid w:val="00894B86"/>
    <w:rsid w:val="008A0381"/>
    <w:rsid w:val="008A1BA2"/>
    <w:rsid w:val="008A4F22"/>
    <w:rsid w:val="008A7EA4"/>
    <w:rsid w:val="008B3B7D"/>
    <w:rsid w:val="008C0985"/>
    <w:rsid w:val="008C2DE5"/>
    <w:rsid w:val="008D2BC0"/>
    <w:rsid w:val="008D3F38"/>
    <w:rsid w:val="008D6581"/>
    <w:rsid w:val="008F027D"/>
    <w:rsid w:val="00915907"/>
    <w:rsid w:val="00915B31"/>
    <w:rsid w:val="00915EFC"/>
    <w:rsid w:val="00923D2F"/>
    <w:rsid w:val="00926290"/>
    <w:rsid w:val="00926C2D"/>
    <w:rsid w:val="009441AF"/>
    <w:rsid w:val="00976666"/>
    <w:rsid w:val="00996040"/>
    <w:rsid w:val="00997ADA"/>
    <w:rsid w:val="009B2F3A"/>
    <w:rsid w:val="009B7A9B"/>
    <w:rsid w:val="009C2E4D"/>
    <w:rsid w:val="009D1D24"/>
    <w:rsid w:val="009D4439"/>
    <w:rsid w:val="009F4BE8"/>
    <w:rsid w:val="009F6D02"/>
    <w:rsid w:val="00A03FBA"/>
    <w:rsid w:val="00A0691A"/>
    <w:rsid w:val="00A15503"/>
    <w:rsid w:val="00A15D37"/>
    <w:rsid w:val="00A26048"/>
    <w:rsid w:val="00A26408"/>
    <w:rsid w:val="00A333EE"/>
    <w:rsid w:val="00A56992"/>
    <w:rsid w:val="00A7124F"/>
    <w:rsid w:val="00A768FF"/>
    <w:rsid w:val="00A95C07"/>
    <w:rsid w:val="00AA0E95"/>
    <w:rsid w:val="00AA231B"/>
    <w:rsid w:val="00AE07DE"/>
    <w:rsid w:val="00B22A82"/>
    <w:rsid w:val="00B30499"/>
    <w:rsid w:val="00B308F2"/>
    <w:rsid w:val="00B329CC"/>
    <w:rsid w:val="00B350C4"/>
    <w:rsid w:val="00B430BC"/>
    <w:rsid w:val="00B44752"/>
    <w:rsid w:val="00B61A67"/>
    <w:rsid w:val="00B77BF9"/>
    <w:rsid w:val="00B83F95"/>
    <w:rsid w:val="00B92E22"/>
    <w:rsid w:val="00BA25FF"/>
    <w:rsid w:val="00BB332C"/>
    <w:rsid w:val="00BB44A9"/>
    <w:rsid w:val="00BB74BF"/>
    <w:rsid w:val="00BC2BD7"/>
    <w:rsid w:val="00BD020C"/>
    <w:rsid w:val="00BD21A6"/>
    <w:rsid w:val="00BD4A82"/>
    <w:rsid w:val="00BF284F"/>
    <w:rsid w:val="00BF6B1C"/>
    <w:rsid w:val="00C0498E"/>
    <w:rsid w:val="00C15F0F"/>
    <w:rsid w:val="00C24797"/>
    <w:rsid w:val="00C26430"/>
    <w:rsid w:val="00C32DAE"/>
    <w:rsid w:val="00C40ACC"/>
    <w:rsid w:val="00C43EF6"/>
    <w:rsid w:val="00C84DED"/>
    <w:rsid w:val="00C87662"/>
    <w:rsid w:val="00C91FF4"/>
    <w:rsid w:val="00CA3C7D"/>
    <w:rsid w:val="00CC6F7A"/>
    <w:rsid w:val="00CD4845"/>
    <w:rsid w:val="00CD4866"/>
    <w:rsid w:val="00CD5B04"/>
    <w:rsid w:val="00CF118D"/>
    <w:rsid w:val="00D141BF"/>
    <w:rsid w:val="00D2136E"/>
    <w:rsid w:val="00D26C80"/>
    <w:rsid w:val="00D27A75"/>
    <w:rsid w:val="00D27CE7"/>
    <w:rsid w:val="00D335E7"/>
    <w:rsid w:val="00D42318"/>
    <w:rsid w:val="00D55C95"/>
    <w:rsid w:val="00D57CFB"/>
    <w:rsid w:val="00D60FC7"/>
    <w:rsid w:val="00D6636B"/>
    <w:rsid w:val="00D675FC"/>
    <w:rsid w:val="00D82F64"/>
    <w:rsid w:val="00D909D8"/>
    <w:rsid w:val="00DA2F21"/>
    <w:rsid w:val="00DB2517"/>
    <w:rsid w:val="00DB790B"/>
    <w:rsid w:val="00DB7A38"/>
    <w:rsid w:val="00DC227F"/>
    <w:rsid w:val="00DC37D7"/>
    <w:rsid w:val="00DD7184"/>
    <w:rsid w:val="00DE53F9"/>
    <w:rsid w:val="00E16B34"/>
    <w:rsid w:val="00E22522"/>
    <w:rsid w:val="00E31601"/>
    <w:rsid w:val="00E37921"/>
    <w:rsid w:val="00E46FFA"/>
    <w:rsid w:val="00E501C7"/>
    <w:rsid w:val="00E66505"/>
    <w:rsid w:val="00E830C8"/>
    <w:rsid w:val="00E86542"/>
    <w:rsid w:val="00E9582F"/>
    <w:rsid w:val="00E96572"/>
    <w:rsid w:val="00EB09E5"/>
    <w:rsid w:val="00EB3094"/>
    <w:rsid w:val="00EB5A06"/>
    <w:rsid w:val="00EB7396"/>
    <w:rsid w:val="00EC7CA6"/>
    <w:rsid w:val="00EE1BB0"/>
    <w:rsid w:val="00EF4FFD"/>
    <w:rsid w:val="00F11012"/>
    <w:rsid w:val="00F116A0"/>
    <w:rsid w:val="00F31605"/>
    <w:rsid w:val="00F31E96"/>
    <w:rsid w:val="00F42CBE"/>
    <w:rsid w:val="00F47F5E"/>
    <w:rsid w:val="00F51C6B"/>
    <w:rsid w:val="00F57D1F"/>
    <w:rsid w:val="00F83844"/>
    <w:rsid w:val="00F94A1C"/>
    <w:rsid w:val="00FA56EE"/>
    <w:rsid w:val="00FC56DC"/>
    <w:rsid w:val="00FD63B3"/>
    <w:rsid w:val="00FE351A"/>
    <w:rsid w:val="076A5F83"/>
    <w:rsid w:val="092A393D"/>
    <w:rsid w:val="0B247374"/>
    <w:rsid w:val="0C413A94"/>
    <w:rsid w:val="0FC24ACC"/>
    <w:rsid w:val="17081314"/>
    <w:rsid w:val="18CA43A5"/>
    <w:rsid w:val="196721DC"/>
    <w:rsid w:val="1B8A054A"/>
    <w:rsid w:val="1C56042C"/>
    <w:rsid w:val="1DAA3451"/>
    <w:rsid w:val="1F3B0EE7"/>
    <w:rsid w:val="26170C2C"/>
    <w:rsid w:val="2FC00586"/>
    <w:rsid w:val="34BD10D8"/>
    <w:rsid w:val="355F6B23"/>
    <w:rsid w:val="38C618CB"/>
    <w:rsid w:val="38C640C5"/>
    <w:rsid w:val="3AB962FE"/>
    <w:rsid w:val="3ACC6031"/>
    <w:rsid w:val="3CC724E0"/>
    <w:rsid w:val="406326AD"/>
    <w:rsid w:val="438213E1"/>
    <w:rsid w:val="4A563B69"/>
    <w:rsid w:val="58D16CDC"/>
    <w:rsid w:val="60F20EED"/>
    <w:rsid w:val="6A333509"/>
    <w:rsid w:val="6AE827F7"/>
    <w:rsid w:val="6D6505C5"/>
    <w:rsid w:val="6DDF1EA1"/>
    <w:rsid w:val="6F1E43A6"/>
    <w:rsid w:val="71184E25"/>
    <w:rsid w:val="71FE226D"/>
    <w:rsid w:val="7B2014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8"/>
    <w:qFormat/>
    <w:uiPriority w:val="0"/>
    <w:rPr>
      <w:rFonts w:ascii="宋体" w:hAnsi="Courier New" w:eastAsiaTheme="minorEastAsia" w:cstheme="minorBidi"/>
      <w:szCs w:val="22"/>
    </w:r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1 Char"/>
    <w:basedOn w:val="11"/>
    <w:link w:val="2"/>
    <w:qFormat/>
    <w:uiPriority w:val="9"/>
    <w:rPr>
      <w:rFonts w:ascii="Times New Roman" w:hAnsi="Times New Roman" w:eastAsia="宋体" w:cs="Times New Roman"/>
      <w:b/>
      <w:bCs/>
      <w:kern w:val="44"/>
      <w:sz w:val="44"/>
      <w:szCs w:val="44"/>
    </w:rPr>
  </w:style>
  <w:style w:type="character" w:customStyle="1" w:styleId="17">
    <w:name w:val="标题 2 Char"/>
    <w:basedOn w:val="11"/>
    <w:link w:val="3"/>
    <w:qFormat/>
    <w:uiPriority w:val="0"/>
    <w:rPr>
      <w:rFonts w:ascii="Arial" w:hAnsi="Arial" w:eastAsia="黑体" w:cs="Arial"/>
      <w:b/>
      <w:bCs/>
      <w:sz w:val="32"/>
      <w:szCs w:val="32"/>
    </w:rPr>
  </w:style>
  <w:style w:type="character" w:customStyle="1" w:styleId="18">
    <w:name w:val="纯文本 Char"/>
    <w:basedOn w:val="11"/>
    <w:link w:val="4"/>
    <w:qFormat/>
    <w:uiPriority w:val="0"/>
    <w:rPr>
      <w:rFonts w:ascii="宋体" w:hAnsi="Courier New"/>
    </w:rPr>
  </w:style>
  <w:style w:type="character" w:customStyle="1" w:styleId="19">
    <w:name w:val="批注框文本 Char"/>
    <w:basedOn w:val="11"/>
    <w:link w:val="5"/>
    <w:semiHidden/>
    <w:qFormat/>
    <w:uiPriority w:val="99"/>
    <w:rPr>
      <w:rFonts w:ascii="Times New Roman" w:hAnsi="Times New Roman" w:eastAsia="宋体" w:cs="Times New Roman"/>
      <w:sz w:val="18"/>
      <w:szCs w:val="18"/>
    </w:rPr>
  </w:style>
  <w:style w:type="character" w:customStyle="1" w:styleId="20">
    <w:name w:val="bookmark-item"/>
    <w:basedOn w:val="11"/>
    <w:qFormat/>
    <w:uiPriority w:val="0"/>
  </w:style>
  <w:style w:type="paragraph" w:customStyle="1" w:styleId="21">
    <w:name w:val="su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62F3-17C1-4AF1-A889-231A1B684333}">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857</Words>
  <Characters>1047</Characters>
  <Lines>33</Lines>
  <Paragraphs>35</Paragraphs>
  <TotalTime>1</TotalTime>
  <ScaleCrop>false</ScaleCrop>
  <LinksUpToDate>false</LinksUpToDate>
  <CharactersWithSpaces>1048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五星好市民</cp:lastModifiedBy>
  <cp:lastPrinted>2025-05-30T03:46:00Z</cp:lastPrinted>
  <dcterms:modified xsi:type="dcterms:W3CDTF">2025-07-09T08:41:04Z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49166AD2B2684EBB80EEF2C3C3EEF2AE_12</vt:lpwstr>
  </property>
  <property fmtid="{D5CDD505-2E9C-101B-9397-08002B2CF9AE}" pid="4" name="KSOTemplateDocerSaveRecord">
    <vt:lpwstr>eyJoZGlkIjoiODA3ZDhmODk2NDRkYjI4ZDhlNmZkZDJiZmIzMjViOTYiLCJ1c2VySWQiOiIxNTk2NDc0MTE2In0=</vt:lpwstr>
  </property>
</Properties>
</file>